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01127212"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423ED7">
        <w:rPr>
          <w:rFonts w:ascii="Aptos" w:hAnsi="Aptos" w:cs="Arial"/>
          <w:b/>
          <w:bCs/>
          <w:sz w:val="24"/>
          <w:szCs w:val="24"/>
        </w:rPr>
        <w:t>3</w:t>
      </w:r>
      <w:r w:rsidR="00AA57A2">
        <w:rPr>
          <w:rFonts w:ascii="Aptos" w:hAnsi="Aptos" w:cs="Arial"/>
          <w:b/>
          <w:bCs/>
          <w:sz w:val="24"/>
          <w:szCs w:val="24"/>
        </w:rPr>
        <w:t>2</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AA57A2" w:rsidRPr="00AA57A2">
        <w:rPr>
          <w:rFonts w:ascii="Aptos" w:hAnsi="Aptos"/>
          <w:b/>
          <w:bCs/>
          <w:color w:val="000000"/>
          <w:sz w:val="24"/>
          <w:szCs w:val="24"/>
        </w:rPr>
        <w:t>Fires in Cannabis Factories</w:t>
      </w:r>
    </w:p>
    <w:p w14:paraId="01DD760D" w14:textId="77777777" w:rsidR="008775C1" w:rsidRDefault="008775C1" w:rsidP="008775C1">
      <w:pPr>
        <w:rPr>
          <w:rFonts w:ascii="Aptos" w:hAnsi="Aptos"/>
        </w:rPr>
      </w:pPr>
      <w:r>
        <w:rPr>
          <w:rFonts w:ascii="Aptos" w:hAnsi="Aptos"/>
        </w:rPr>
        <w:t> </w:t>
      </w:r>
    </w:p>
    <w:p w14:paraId="28068566" w14:textId="77777777" w:rsidR="008775C1" w:rsidRDefault="008775C1" w:rsidP="008775C1">
      <w:pPr>
        <w:pStyle w:val="xxmsonormal"/>
        <w:rPr>
          <w:rFonts w:ascii="Aptos" w:hAnsi="Aptos"/>
        </w:rPr>
      </w:pPr>
      <w:r>
        <w:rPr>
          <w:rFonts w:ascii="Aptos" w:hAnsi="Aptos"/>
          <w:b/>
          <w:bCs/>
        </w:rPr>
        <w:t>The request is:</w:t>
      </w:r>
    </w:p>
    <w:p w14:paraId="7897F7E6" w14:textId="22AC048F" w:rsidR="00D0151C" w:rsidRDefault="00D0151C" w:rsidP="00D0151C">
      <w:pPr>
        <w:rPr>
          <w:rFonts w:ascii="Aptos" w:eastAsia="Times New Roman" w:hAnsi="Aptos" w:cs="Aptos"/>
          <w:sz w:val="24"/>
          <w:szCs w:val="24"/>
          <w:lang w:eastAsia="en-GB"/>
        </w:rPr>
      </w:pPr>
      <w:r>
        <w:rPr>
          <w:rFonts w:ascii="Aptos" w:eastAsia="Times New Roman" w:hAnsi="Aptos" w:cs="Aptos"/>
          <w:sz w:val="24"/>
          <w:szCs w:val="24"/>
          <w:lang w:eastAsia="en-GB"/>
        </w:rPr>
        <w:t>I am writing to you under the Freedom of Information Act 2000 to request the following information about fires at cannabis factories, and suspected cannabis factories, within your authority</w:t>
      </w:r>
      <w:r>
        <w:rPr>
          <w:rFonts w:ascii="Aptos" w:eastAsia="Times New Roman" w:hAnsi="Aptos" w:cs="Aptos"/>
          <w:sz w:val="24"/>
          <w:szCs w:val="24"/>
          <w:lang w:eastAsia="en-GB"/>
        </w:rPr>
        <w:t>.</w:t>
      </w:r>
    </w:p>
    <w:p w14:paraId="2DC170A0" w14:textId="6F6A4F24" w:rsidR="00D0151C" w:rsidRDefault="00D0151C" w:rsidP="00D0151C">
      <w:pPr>
        <w:rPr>
          <w:rFonts w:ascii="Aptos" w:eastAsia="Times New Roman" w:hAnsi="Aptos" w:cs="Aptos"/>
          <w:sz w:val="24"/>
          <w:szCs w:val="24"/>
          <w:lang w:eastAsia="en-GB"/>
        </w:rPr>
      </w:pPr>
      <w:r>
        <w:rPr>
          <w:rFonts w:ascii="Aptos" w:eastAsia="Times New Roman" w:hAnsi="Aptos" w:cs="Aptos"/>
          <w:sz w:val="24"/>
          <w:szCs w:val="24"/>
          <w:lang w:eastAsia="en-GB"/>
        </w:rPr>
        <w:t>I am requesting the data for the following calendar years, 2019-2024 (until latest available date in 2024):</w:t>
      </w:r>
    </w:p>
    <w:p w14:paraId="710A7A38" w14:textId="77777777" w:rsidR="00D0151C" w:rsidRDefault="00D0151C" w:rsidP="00D0151C">
      <w:pPr>
        <w:rPr>
          <w:rFonts w:ascii="Aptos" w:eastAsia="Times New Roman" w:hAnsi="Aptos" w:cs="Aptos"/>
          <w:sz w:val="24"/>
          <w:szCs w:val="24"/>
          <w:lang w:eastAsia="en-GB"/>
        </w:rPr>
      </w:pPr>
      <w:r>
        <w:rPr>
          <w:rFonts w:ascii="Aptos" w:eastAsia="Times New Roman" w:hAnsi="Aptos" w:cs="Aptos"/>
          <w:sz w:val="24"/>
          <w:szCs w:val="24"/>
          <w:lang w:eastAsia="en-GB"/>
        </w:rPr>
        <w:t>Q1: How many fires were recorded at suspected or confirmed cannabis factories in your authority, in each year?</w:t>
      </w:r>
    </w:p>
    <w:p w14:paraId="230ABF06" w14:textId="106E79CC" w:rsidR="00D0151C" w:rsidRPr="00D0151C" w:rsidRDefault="00D0151C" w:rsidP="00D0151C">
      <w:pPr>
        <w:rPr>
          <w:rFonts w:ascii="Aptos" w:eastAsia="Times New Roman" w:hAnsi="Aptos" w:cs="Aptos"/>
          <w:sz w:val="24"/>
          <w:szCs w:val="24"/>
          <w:lang w:eastAsia="en-GB"/>
        </w:rPr>
      </w:pPr>
      <w:r>
        <w:rPr>
          <w:rFonts w:ascii="Aptos" w:eastAsia="Times New Roman" w:hAnsi="Aptos" w:cs="Aptos"/>
          <w:sz w:val="24"/>
          <w:szCs w:val="24"/>
          <w:lang w:eastAsia="en-GB"/>
        </w:rPr>
        <w:t>Q2: If any, how many fatalities were recorded at each incident?</w:t>
      </w:r>
    </w:p>
    <w:p w14:paraId="69B50E61" w14:textId="7D537B8C" w:rsidR="00D0151C" w:rsidRDefault="00D0151C" w:rsidP="00D0151C">
      <w:pPr>
        <w:rPr>
          <w:b/>
          <w:bCs/>
        </w:rPr>
      </w:pPr>
      <w:r>
        <w:rPr>
          <w:b/>
          <w:bCs/>
        </w:rPr>
        <w:t>The response is:</w:t>
      </w:r>
    </w:p>
    <w:p w14:paraId="23DEE729" w14:textId="087642A8" w:rsidR="00D0151C" w:rsidRDefault="00D0151C" w:rsidP="00D0151C">
      <w:r>
        <w:t>We do not have a criteria for cannabis factories within the incident recording system, we therefore ran a keyword search for references to ‘cannabis’, ’marijuana’ etc and then filtered the results down to incidents which made references to factories/farms. The results are listed below:</w:t>
      </w:r>
    </w:p>
    <w:p w14:paraId="3956D38E" w14:textId="77777777" w:rsidR="00D0151C" w:rsidRDefault="00D0151C" w:rsidP="00D0151C"/>
    <w:tbl>
      <w:tblPr>
        <w:tblW w:w="3379" w:type="dxa"/>
        <w:tblInd w:w="-1" w:type="dxa"/>
        <w:tblCellMar>
          <w:left w:w="0" w:type="dxa"/>
          <w:right w:w="0" w:type="dxa"/>
        </w:tblCellMar>
        <w:tblLook w:val="04A0" w:firstRow="1" w:lastRow="0" w:firstColumn="1" w:lastColumn="0" w:noHBand="0" w:noVBand="1"/>
      </w:tblPr>
      <w:tblGrid>
        <w:gridCol w:w="1400"/>
        <w:gridCol w:w="1979"/>
      </w:tblGrid>
      <w:tr w:rsidR="00D0151C" w14:paraId="0131F042" w14:textId="77777777" w:rsidTr="00D0151C">
        <w:trPr>
          <w:trHeight w:val="288"/>
        </w:trPr>
        <w:tc>
          <w:tcPr>
            <w:tcW w:w="1400" w:type="dxa"/>
            <w:tcBorders>
              <w:top w:val="single" w:sz="8" w:space="0" w:color="808080"/>
              <w:left w:val="single" w:sz="8" w:space="0" w:color="808080"/>
              <w:bottom w:val="single" w:sz="8" w:space="0" w:color="808080"/>
              <w:right w:val="single" w:sz="8" w:space="0" w:color="808080"/>
            </w:tcBorders>
            <w:noWrap/>
            <w:tcMar>
              <w:top w:w="0" w:type="dxa"/>
              <w:left w:w="108" w:type="dxa"/>
              <w:bottom w:w="0" w:type="dxa"/>
              <w:right w:w="108" w:type="dxa"/>
            </w:tcMar>
            <w:vAlign w:val="bottom"/>
            <w:hideMark/>
          </w:tcPr>
          <w:p w14:paraId="52FEC940" w14:textId="77777777" w:rsidR="00D0151C" w:rsidRDefault="00D0151C">
            <w:pPr>
              <w:rPr>
                <w:rFonts w:ascii="Aptos Narrow" w:hAnsi="Aptos Narrow"/>
                <w:b/>
                <w:bCs/>
                <w:color w:val="000000"/>
                <w:lang w:eastAsia="en-GB"/>
              </w:rPr>
            </w:pPr>
            <w:r>
              <w:rPr>
                <w:rFonts w:ascii="Aptos Narrow" w:hAnsi="Aptos Narrow"/>
                <w:b/>
                <w:bCs/>
                <w:color w:val="000000"/>
                <w:lang w:eastAsia="en-GB"/>
              </w:rPr>
              <w:t>Year</w:t>
            </w:r>
          </w:p>
        </w:tc>
        <w:tc>
          <w:tcPr>
            <w:tcW w:w="1979" w:type="dxa"/>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bottom"/>
            <w:hideMark/>
          </w:tcPr>
          <w:p w14:paraId="137B6DDA" w14:textId="77777777" w:rsidR="00D0151C" w:rsidRDefault="00D0151C">
            <w:pPr>
              <w:rPr>
                <w:rFonts w:ascii="Aptos Narrow" w:hAnsi="Aptos Narrow"/>
                <w:b/>
                <w:bCs/>
                <w:color w:val="000000"/>
                <w:lang w:eastAsia="en-GB"/>
              </w:rPr>
            </w:pPr>
            <w:r>
              <w:rPr>
                <w:rFonts w:ascii="Aptos Narrow" w:hAnsi="Aptos Narrow"/>
                <w:b/>
                <w:bCs/>
                <w:color w:val="000000"/>
                <w:lang w:eastAsia="en-GB"/>
              </w:rPr>
              <w:t>Count of Incidents</w:t>
            </w:r>
          </w:p>
        </w:tc>
      </w:tr>
      <w:tr w:rsidR="00D0151C" w14:paraId="51E6796C" w14:textId="77777777" w:rsidTr="00D0151C">
        <w:trPr>
          <w:trHeight w:val="288"/>
        </w:trPr>
        <w:tc>
          <w:tcPr>
            <w:tcW w:w="1400" w:type="dxa"/>
            <w:tcBorders>
              <w:top w:val="nil"/>
              <w:left w:val="single" w:sz="8" w:space="0" w:color="808080"/>
              <w:bottom w:val="nil"/>
              <w:right w:val="single" w:sz="8" w:space="0" w:color="808080"/>
            </w:tcBorders>
            <w:noWrap/>
            <w:tcMar>
              <w:top w:w="0" w:type="dxa"/>
              <w:left w:w="108" w:type="dxa"/>
              <w:bottom w:w="0" w:type="dxa"/>
              <w:right w:w="108" w:type="dxa"/>
            </w:tcMar>
            <w:vAlign w:val="bottom"/>
            <w:hideMark/>
          </w:tcPr>
          <w:p w14:paraId="73DABFF5" w14:textId="77777777" w:rsidR="00D0151C" w:rsidRDefault="00D0151C">
            <w:pPr>
              <w:rPr>
                <w:rFonts w:ascii="Aptos Narrow" w:hAnsi="Aptos Narrow"/>
                <w:b/>
                <w:bCs/>
                <w:color w:val="000000"/>
                <w:lang w:eastAsia="en-GB"/>
              </w:rPr>
            </w:pPr>
            <w:r>
              <w:rPr>
                <w:rFonts w:ascii="Aptos Narrow" w:hAnsi="Aptos Narrow"/>
                <w:b/>
                <w:bCs/>
                <w:color w:val="000000"/>
                <w:lang w:eastAsia="en-GB"/>
              </w:rPr>
              <w:t>2019</w:t>
            </w:r>
          </w:p>
        </w:tc>
        <w:tc>
          <w:tcPr>
            <w:tcW w:w="1979" w:type="dxa"/>
            <w:tcBorders>
              <w:top w:val="nil"/>
              <w:left w:val="nil"/>
              <w:bottom w:val="nil"/>
              <w:right w:val="single" w:sz="8" w:space="0" w:color="808080"/>
            </w:tcBorders>
            <w:noWrap/>
            <w:tcMar>
              <w:top w:w="0" w:type="dxa"/>
              <w:left w:w="108" w:type="dxa"/>
              <w:bottom w:w="0" w:type="dxa"/>
              <w:right w:w="108" w:type="dxa"/>
            </w:tcMar>
            <w:vAlign w:val="bottom"/>
            <w:hideMark/>
          </w:tcPr>
          <w:p w14:paraId="2A030BBF" w14:textId="77777777" w:rsidR="00D0151C" w:rsidRDefault="00D0151C">
            <w:pPr>
              <w:jc w:val="right"/>
              <w:rPr>
                <w:rFonts w:ascii="Aptos Narrow" w:hAnsi="Aptos Narrow"/>
                <w:color w:val="000000"/>
                <w:lang w:eastAsia="en-GB"/>
              </w:rPr>
            </w:pPr>
            <w:r>
              <w:rPr>
                <w:rFonts w:ascii="Aptos Narrow" w:hAnsi="Aptos Narrow"/>
                <w:color w:val="000000"/>
                <w:lang w:eastAsia="en-GB"/>
              </w:rPr>
              <w:t>3</w:t>
            </w:r>
          </w:p>
        </w:tc>
      </w:tr>
      <w:tr w:rsidR="00D0151C" w14:paraId="022DE7FB" w14:textId="77777777" w:rsidTr="00D0151C">
        <w:trPr>
          <w:trHeight w:val="288"/>
        </w:trPr>
        <w:tc>
          <w:tcPr>
            <w:tcW w:w="1400" w:type="dxa"/>
            <w:tcBorders>
              <w:top w:val="nil"/>
              <w:left w:val="single" w:sz="8" w:space="0" w:color="808080"/>
              <w:bottom w:val="nil"/>
              <w:right w:val="single" w:sz="8" w:space="0" w:color="808080"/>
            </w:tcBorders>
            <w:noWrap/>
            <w:tcMar>
              <w:top w:w="0" w:type="dxa"/>
              <w:left w:w="108" w:type="dxa"/>
              <w:bottom w:w="0" w:type="dxa"/>
              <w:right w:w="108" w:type="dxa"/>
            </w:tcMar>
            <w:vAlign w:val="bottom"/>
            <w:hideMark/>
          </w:tcPr>
          <w:p w14:paraId="11CD18AD" w14:textId="77777777" w:rsidR="00D0151C" w:rsidRDefault="00D0151C">
            <w:pPr>
              <w:rPr>
                <w:rFonts w:ascii="Aptos Narrow" w:hAnsi="Aptos Narrow"/>
                <w:b/>
                <w:bCs/>
                <w:color w:val="000000"/>
                <w:lang w:eastAsia="en-GB"/>
              </w:rPr>
            </w:pPr>
            <w:r>
              <w:rPr>
                <w:rFonts w:ascii="Aptos Narrow" w:hAnsi="Aptos Narrow"/>
                <w:b/>
                <w:bCs/>
                <w:color w:val="000000"/>
                <w:lang w:eastAsia="en-GB"/>
              </w:rPr>
              <w:t>2020</w:t>
            </w:r>
          </w:p>
        </w:tc>
        <w:tc>
          <w:tcPr>
            <w:tcW w:w="1979" w:type="dxa"/>
            <w:tcBorders>
              <w:top w:val="nil"/>
              <w:left w:val="nil"/>
              <w:bottom w:val="nil"/>
              <w:right w:val="single" w:sz="8" w:space="0" w:color="808080"/>
            </w:tcBorders>
            <w:noWrap/>
            <w:tcMar>
              <w:top w:w="0" w:type="dxa"/>
              <w:left w:w="108" w:type="dxa"/>
              <w:bottom w:w="0" w:type="dxa"/>
              <w:right w:w="108" w:type="dxa"/>
            </w:tcMar>
            <w:vAlign w:val="bottom"/>
            <w:hideMark/>
          </w:tcPr>
          <w:p w14:paraId="043862AB" w14:textId="77777777" w:rsidR="00D0151C" w:rsidRDefault="00D0151C">
            <w:pPr>
              <w:jc w:val="right"/>
              <w:rPr>
                <w:rFonts w:ascii="Aptos Narrow" w:hAnsi="Aptos Narrow"/>
                <w:color w:val="000000"/>
                <w:lang w:eastAsia="en-GB"/>
              </w:rPr>
            </w:pPr>
            <w:r>
              <w:rPr>
                <w:rFonts w:ascii="Aptos Narrow" w:hAnsi="Aptos Narrow"/>
                <w:color w:val="000000"/>
                <w:lang w:eastAsia="en-GB"/>
              </w:rPr>
              <w:t>3</w:t>
            </w:r>
          </w:p>
        </w:tc>
      </w:tr>
      <w:tr w:rsidR="00D0151C" w14:paraId="4C71FF62" w14:textId="77777777" w:rsidTr="00D0151C">
        <w:trPr>
          <w:trHeight w:val="288"/>
        </w:trPr>
        <w:tc>
          <w:tcPr>
            <w:tcW w:w="1400" w:type="dxa"/>
            <w:tcBorders>
              <w:top w:val="nil"/>
              <w:left w:val="single" w:sz="8" w:space="0" w:color="808080"/>
              <w:bottom w:val="nil"/>
              <w:right w:val="single" w:sz="8" w:space="0" w:color="808080"/>
            </w:tcBorders>
            <w:noWrap/>
            <w:tcMar>
              <w:top w:w="0" w:type="dxa"/>
              <w:left w:w="108" w:type="dxa"/>
              <w:bottom w:w="0" w:type="dxa"/>
              <w:right w:w="108" w:type="dxa"/>
            </w:tcMar>
            <w:vAlign w:val="bottom"/>
            <w:hideMark/>
          </w:tcPr>
          <w:p w14:paraId="362941F4" w14:textId="77777777" w:rsidR="00D0151C" w:rsidRDefault="00D0151C">
            <w:pPr>
              <w:rPr>
                <w:rFonts w:ascii="Aptos Narrow" w:hAnsi="Aptos Narrow"/>
                <w:b/>
                <w:bCs/>
                <w:color w:val="000000"/>
                <w:lang w:eastAsia="en-GB"/>
              </w:rPr>
            </w:pPr>
            <w:r>
              <w:rPr>
                <w:rFonts w:ascii="Aptos Narrow" w:hAnsi="Aptos Narrow"/>
                <w:b/>
                <w:bCs/>
                <w:color w:val="000000"/>
                <w:lang w:eastAsia="en-GB"/>
              </w:rPr>
              <w:t>2021</w:t>
            </w:r>
          </w:p>
        </w:tc>
        <w:tc>
          <w:tcPr>
            <w:tcW w:w="1979" w:type="dxa"/>
            <w:tcBorders>
              <w:top w:val="nil"/>
              <w:left w:val="nil"/>
              <w:bottom w:val="nil"/>
              <w:right w:val="single" w:sz="8" w:space="0" w:color="808080"/>
            </w:tcBorders>
            <w:noWrap/>
            <w:tcMar>
              <w:top w:w="0" w:type="dxa"/>
              <w:left w:w="108" w:type="dxa"/>
              <w:bottom w:w="0" w:type="dxa"/>
              <w:right w:w="108" w:type="dxa"/>
            </w:tcMar>
            <w:vAlign w:val="bottom"/>
            <w:hideMark/>
          </w:tcPr>
          <w:p w14:paraId="67D40934" w14:textId="77777777" w:rsidR="00D0151C" w:rsidRDefault="00D0151C">
            <w:pPr>
              <w:jc w:val="right"/>
              <w:rPr>
                <w:rFonts w:ascii="Aptos Narrow" w:hAnsi="Aptos Narrow"/>
                <w:color w:val="000000"/>
                <w:lang w:eastAsia="en-GB"/>
              </w:rPr>
            </w:pPr>
            <w:r>
              <w:rPr>
                <w:rFonts w:ascii="Aptos Narrow" w:hAnsi="Aptos Narrow"/>
                <w:color w:val="000000"/>
                <w:lang w:eastAsia="en-GB"/>
              </w:rPr>
              <w:t>2</w:t>
            </w:r>
          </w:p>
        </w:tc>
      </w:tr>
      <w:tr w:rsidR="00D0151C" w14:paraId="75486ED9" w14:textId="77777777" w:rsidTr="00D0151C">
        <w:trPr>
          <w:trHeight w:val="288"/>
        </w:trPr>
        <w:tc>
          <w:tcPr>
            <w:tcW w:w="1400" w:type="dxa"/>
            <w:tcBorders>
              <w:top w:val="nil"/>
              <w:left w:val="single" w:sz="8" w:space="0" w:color="808080"/>
              <w:bottom w:val="nil"/>
              <w:right w:val="single" w:sz="8" w:space="0" w:color="808080"/>
            </w:tcBorders>
            <w:noWrap/>
            <w:tcMar>
              <w:top w:w="0" w:type="dxa"/>
              <w:left w:w="108" w:type="dxa"/>
              <w:bottom w:w="0" w:type="dxa"/>
              <w:right w:w="108" w:type="dxa"/>
            </w:tcMar>
            <w:vAlign w:val="bottom"/>
            <w:hideMark/>
          </w:tcPr>
          <w:p w14:paraId="4C5F373B" w14:textId="77777777" w:rsidR="00D0151C" w:rsidRDefault="00D0151C">
            <w:pPr>
              <w:rPr>
                <w:rFonts w:ascii="Aptos Narrow" w:hAnsi="Aptos Narrow"/>
                <w:b/>
                <w:bCs/>
                <w:color w:val="000000"/>
                <w:lang w:eastAsia="en-GB"/>
              </w:rPr>
            </w:pPr>
            <w:r>
              <w:rPr>
                <w:rFonts w:ascii="Aptos Narrow" w:hAnsi="Aptos Narrow"/>
                <w:b/>
                <w:bCs/>
                <w:color w:val="000000"/>
                <w:lang w:eastAsia="en-GB"/>
              </w:rPr>
              <w:t>2022</w:t>
            </w:r>
          </w:p>
        </w:tc>
        <w:tc>
          <w:tcPr>
            <w:tcW w:w="1979" w:type="dxa"/>
            <w:tcBorders>
              <w:top w:val="nil"/>
              <w:left w:val="nil"/>
              <w:bottom w:val="nil"/>
              <w:right w:val="single" w:sz="8" w:space="0" w:color="808080"/>
            </w:tcBorders>
            <w:noWrap/>
            <w:tcMar>
              <w:top w:w="0" w:type="dxa"/>
              <w:left w:w="108" w:type="dxa"/>
              <w:bottom w:w="0" w:type="dxa"/>
              <w:right w:w="108" w:type="dxa"/>
            </w:tcMar>
            <w:vAlign w:val="bottom"/>
            <w:hideMark/>
          </w:tcPr>
          <w:p w14:paraId="7BD6AA19" w14:textId="77777777" w:rsidR="00D0151C" w:rsidRDefault="00D0151C">
            <w:pPr>
              <w:jc w:val="right"/>
              <w:rPr>
                <w:rFonts w:ascii="Aptos Narrow" w:hAnsi="Aptos Narrow"/>
                <w:color w:val="000000"/>
                <w:lang w:eastAsia="en-GB"/>
              </w:rPr>
            </w:pPr>
            <w:r>
              <w:rPr>
                <w:rFonts w:ascii="Aptos Narrow" w:hAnsi="Aptos Narrow"/>
                <w:color w:val="000000"/>
                <w:lang w:eastAsia="en-GB"/>
              </w:rPr>
              <w:t>4</w:t>
            </w:r>
          </w:p>
        </w:tc>
      </w:tr>
      <w:tr w:rsidR="00D0151C" w14:paraId="03B801FC" w14:textId="77777777" w:rsidTr="00D0151C">
        <w:trPr>
          <w:trHeight w:val="288"/>
        </w:trPr>
        <w:tc>
          <w:tcPr>
            <w:tcW w:w="1400" w:type="dxa"/>
            <w:tcBorders>
              <w:top w:val="nil"/>
              <w:left w:val="single" w:sz="8" w:space="0" w:color="808080"/>
              <w:bottom w:val="nil"/>
              <w:right w:val="single" w:sz="8" w:space="0" w:color="808080"/>
            </w:tcBorders>
            <w:noWrap/>
            <w:tcMar>
              <w:top w:w="0" w:type="dxa"/>
              <w:left w:w="108" w:type="dxa"/>
              <w:bottom w:w="0" w:type="dxa"/>
              <w:right w:w="108" w:type="dxa"/>
            </w:tcMar>
            <w:vAlign w:val="bottom"/>
            <w:hideMark/>
          </w:tcPr>
          <w:p w14:paraId="76D17F14" w14:textId="77777777" w:rsidR="00D0151C" w:rsidRDefault="00D0151C">
            <w:pPr>
              <w:rPr>
                <w:rFonts w:ascii="Aptos Narrow" w:hAnsi="Aptos Narrow"/>
                <w:b/>
                <w:bCs/>
                <w:color w:val="000000"/>
                <w:lang w:eastAsia="en-GB"/>
              </w:rPr>
            </w:pPr>
            <w:r>
              <w:rPr>
                <w:rFonts w:ascii="Aptos Narrow" w:hAnsi="Aptos Narrow"/>
                <w:b/>
                <w:bCs/>
                <w:color w:val="000000"/>
                <w:lang w:eastAsia="en-GB"/>
              </w:rPr>
              <w:t>2023</w:t>
            </w:r>
          </w:p>
        </w:tc>
        <w:tc>
          <w:tcPr>
            <w:tcW w:w="1979" w:type="dxa"/>
            <w:tcBorders>
              <w:top w:val="nil"/>
              <w:left w:val="nil"/>
              <w:bottom w:val="nil"/>
              <w:right w:val="single" w:sz="8" w:space="0" w:color="808080"/>
            </w:tcBorders>
            <w:noWrap/>
            <w:tcMar>
              <w:top w:w="0" w:type="dxa"/>
              <w:left w:w="108" w:type="dxa"/>
              <w:bottom w:w="0" w:type="dxa"/>
              <w:right w:w="108" w:type="dxa"/>
            </w:tcMar>
            <w:vAlign w:val="bottom"/>
            <w:hideMark/>
          </w:tcPr>
          <w:p w14:paraId="5E051308" w14:textId="77777777" w:rsidR="00D0151C" w:rsidRDefault="00D0151C">
            <w:pPr>
              <w:jc w:val="right"/>
              <w:rPr>
                <w:rFonts w:ascii="Aptos Narrow" w:hAnsi="Aptos Narrow"/>
                <w:color w:val="000000"/>
                <w:lang w:eastAsia="en-GB"/>
              </w:rPr>
            </w:pPr>
            <w:r>
              <w:rPr>
                <w:rFonts w:ascii="Aptos Narrow" w:hAnsi="Aptos Narrow"/>
                <w:color w:val="000000"/>
                <w:lang w:eastAsia="en-GB"/>
              </w:rPr>
              <w:t>4</w:t>
            </w:r>
          </w:p>
        </w:tc>
      </w:tr>
      <w:tr w:rsidR="00D0151C" w14:paraId="6C42BCDB" w14:textId="77777777" w:rsidTr="00D0151C">
        <w:trPr>
          <w:trHeight w:val="288"/>
        </w:trPr>
        <w:tc>
          <w:tcPr>
            <w:tcW w:w="1400" w:type="dxa"/>
            <w:tcBorders>
              <w:top w:val="nil"/>
              <w:left w:val="single" w:sz="8" w:space="0" w:color="808080"/>
              <w:bottom w:val="nil"/>
              <w:right w:val="single" w:sz="8" w:space="0" w:color="808080"/>
            </w:tcBorders>
            <w:noWrap/>
            <w:tcMar>
              <w:top w:w="0" w:type="dxa"/>
              <w:left w:w="108" w:type="dxa"/>
              <w:bottom w:w="0" w:type="dxa"/>
              <w:right w:w="108" w:type="dxa"/>
            </w:tcMar>
            <w:vAlign w:val="bottom"/>
            <w:hideMark/>
          </w:tcPr>
          <w:p w14:paraId="4530DF7D" w14:textId="77777777" w:rsidR="00D0151C" w:rsidRDefault="00D0151C">
            <w:pPr>
              <w:rPr>
                <w:rFonts w:ascii="Aptos Narrow" w:hAnsi="Aptos Narrow"/>
                <w:b/>
                <w:bCs/>
                <w:color w:val="000000"/>
                <w:lang w:eastAsia="en-GB"/>
              </w:rPr>
            </w:pPr>
            <w:r>
              <w:rPr>
                <w:rFonts w:ascii="Aptos Narrow" w:hAnsi="Aptos Narrow"/>
                <w:b/>
                <w:bCs/>
                <w:color w:val="000000"/>
                <w:lang w:eastAsia="en-GB"/>
              </w:rPr>
              <w:t>2024</w:t>
            </w:r>
          </w:p>
        </w:tc>
        <w:tc>
          <w:tcPr>
            <w:tcW w:w="1979" w:type="dxa"/>
            <w:tcBorders>
              <w:top w:val="nil"/>
              <w:left w:val="nil"/>
              <w:bottom w:val="nil"/>
              <w:right w:val="single" w:sz="8" w:space="0" w:color="808080"/>
            </w:tcBorders>
            <w:noWrap/>
            <w:tcMar>
              <w:top w:w="0" w:type="dxa"/>
              <w:left w:w="108" w:type="dxa"/>
              <w:bottom w:w="0" w:type="dxa"/>
              <w:right w:w="108" w:type="dxa"/>
            </w:tcMar>
            <w:vAlign w:val="bottom"/>
            <w:hideMark/>
          </w:tcPr>
          <w:p w14:paraId="7EFA8810" w14:textId="77777777" w:rsidR="00D0151C" w:rsidRDefault="00D0151C">
            <w:pPr>
              <w:jc w:val="right"/>
              <w:rPr>
                <w:rFonts w:ascii="Aptos Narrow" w:hAnsi="Aptos Narrow"/>
                <w:color w:val="000000"/>
                <w:lang w:eastAsia="en-GB"/>
              </w:rPr>
            </w:pPr>
            <w:r>
              <w:rPr>
                <w:rFonts w:ascii="Aptos Narrow" w:hAnsi="Aptos Narrow"/>
                <w:color w:val="000000"/>
                <w:lang w:eastAsia="en-GB"/>
              </w:rPr>
              <w:t>1</w:t>
            </w:r>
          </w:p>
        </w:tc>
      </w:tr>
      <w:tr w:rsidR="00D0151C" w14:paraId="0B0656E6" w14:textId="77777777" w:rsidTr="00D0151C">
        <w:trPr>
          <w:trHeight w:val="288"/>
        </w:trPr>
        <w:tc>
          <w:tcPr>
            <w:tcW w:w="1400" w:type="dxa"/>
            <w:tcBorders>
              <w:top w:val="single" w:sz="8" w:space="0" w:color="808080"/>
              <w:left w:val="single" w:sz="8" w:space="0" w:color="808080"/>
              <w:bottom w:val="single" w:sz="8" w:space="0" w:color="808080"/>
              <w:right w:val="single" w:sz="8" w:space="0" w:color="808080"/>
            </w:tcBorders>
            <w:noWrap/>
            <w:tcMar>
              <w:top w:w="0" w:type="dxa"/>
              <w:left w:w="108" w:type="dxa"/>
              <w:bottom w:w="0" w:type="dxa"/>
              <w:right w:w="108" w:type="dxa"/>
            </w:tcMar>
            <w:vAlign w:val="bottom"/>
            <w:hideMark/>
          </w:tcPr>
          <w:p w14:paraId="5753FEE4" w14:textId="77777777" w:rsidR="00D0151C" w:rsidRDefault="00D0151C">
            <w:pPr>
              <w:rPr>
                <w:rFonts w:ascii="Aptos Narrow" w:hAnsi="Aptos Narrow"/>
                <w:b/>
                <w:bCs/>
                <w:color w:val="000000"/>
                <w:lang w:eastAsia="en-GB"/>
              </w:rPr>
            </w:pPr>
            <w:r>
              <w:rPr>
                <w:rFonts w:ascii="Aptos Narrow" w:hAnsi="Aptos Narrow"/>
                <w:b/>
                <w:bCs/>
                <w:color w:val="000000"/>
                <w:lang w:eastAsia="en-GB"/>
              </w:rPr>
              <w:t>Grand Total</w:t>
            </w:r>
          </w:p>
        </w:tc>
        <w:tc>
          <w:tcPr>
            <w:tcW w:w="1979" w:type="dxa"/>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bottom"/>
            <w:hideMark/>
          </w:tcPr>
          <w:p w14:paraId="4C6648DE" w14:textId="77777777" w:rsidR="00D0151C" w:rsidRDefault="00D0151C">
            <w:pPr>
              <w:jc w:val="right"/>
              <w:rPr>
                <w:rFonts w:ascii="Aptos Narrow" w:hAnsi="Aptos Narrow"/>
                <w:b/>
                <w:bCs/>
                <w:color w:val="000000"/>
                <w:lang w:eastAsia="en-GB"/>
              </w:rPr>
            </w:pPr>
            <w:r>
              <w:rPr>
                <w:rFonts w:ascii="Aptos Narrow" w:hAnsi="Aptos Narrow"/>
                <w:b/>
                <w:bCs/>
                <w:color w:val="000000"/>
                <w:lang w:eastAsia="en-GB"/>
              </w:rPr>
              <w:t>17</w:t>
            </w:r>
          </w:p>
        </w:tc>
      </w:tr>
    </w:tbl>
    <w:p w14:paraId="0D407EC3" w14:textId="77777777" w:rsidR="00D0151C" w:rsidRDefault="00D0151C" w:rsidP="00D0151C">
      <w:pPr>
        <w:rPr>
          <w:rFonts w:ascii="Aptos" w:hAnsi="Aptos"/>
          <w:kern w:val="2"/>
          <w14:ligatures w14:val="standardContextual"/>
        </w:rPr>
      </w:pPr>
    </w:p>
    <w:p w14:paraId="7BB9C960" w14:textId="4556EF5B" w:rsidR="000E14CA" w:rsidRDefault="00D0151C" w:rsidP="000E14CA">
      <w:r>
        <w:t xml:space="preserve">Of these 17 incidents there were 0 reported fatalities. </w:t>
      </w:r>
    </w:p>
    <w:p w14:paraId="23C94F09" w14:textId="77777777" w:rsidR="0043250A" w:rsidRPr="005F14F5" w:rsidRDefault="0043250A" w:rsidP="005F14F5">
      <w:pPr>
        <w:spacing w:after="0" w:line="288" w:lineRule="auto"/>
        <w:rPr>
          <w:rFonts w:eastAsia="Times New Roman"/>
          <w:color w:val="000000"/>
        </w:rPr>
      </w:pPr>
    </w:p>
    <w:p w14:paraId="3AC79508" w14:textId="1CABD5FD" w:rsidR="00CF7043" w:rsidRPr="00F9044E" w:rsidRDefault="00CF7043" w:rsidP="00CF7043">
      <w:pPr>
        <w:rPr>
          <w:rFonts w:ascii="Aptos" w:hAnsi="Aptos"/>
        </w:rPr>
      </w:pPr>
      <w:r w:rsidRPr="00F9044E">
        <w:rPr>
          <w:rFonts w:ascii="Aptos" w:hAnsi="Aptos"/>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4E0FA8" w:rsidP="00CF7043">
      <w:pPr>
        <w:rPr>
          <w:rFonts w:ascii="Aptos" w:hAnsi="Aptos"/>
          <w:sz w:val="24"/>
          <w:szCs w:val="24"/>
        </w:rPr>
      </w:pPr>
      <w:hyperlink r:id="rId9" w:history="1">
        <w:r w:rsidR="00CF7043" w:rsidRPr="00F9044E">
          <w:rPr>
            <w:rStyle w:val="Hyperlink"/>
            <w:rFonts w:ascii="Aptos" w:hAnsi="Aptos"/>
          </w:rPr>
          <w:t>https://ico.org.uk/</w:t>
        </w:r>
      </w:hyperlink>
    </w:p>
    <w:sectPr w:rsidR="00CF7043" w:rsidRPr="00494D28" w:rsidSect="002E212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830039"/>
    <w:multiLevelType w:val="hybridMultilevel"/>
    <w:tmpl w:val="C0005E68"/>
    <w:lvl w:ilvl="0" w:tplc="4C303A1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9767D39"/>
    <w:multiLevelType w:val="hybridMultilevel"/>
    <w:tmpl w:val="9888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5"/>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8"/>
  </w:num>
  <w:num w:numId="4" w16cid:durableId="602609032">
    <w:abstractNumId w:val="10"/>
  </w:num>
  <w:num w:numId="5" w16cid:durableId="1323856357">
    <w:abstractNumId w:val="13"/>
  </w:num>
  <w:num w:numId="6" w16cid:durableId="497572583">
    <w:abstractNumId w:val="11"/>
  </w:num>
  <w:num w:numId="7" w16cid:durableId="1888184067">
    <w:abstractNumId w:val="3"/>
  </w:num>
  <w:num w:numId="8" w16cid:durableId="13310904">
    <w:abstractNumId w:val="21"/>
  </w:num>
  <w:num w:numId="9" w16cid:durableId="877352183">
    <w:abstractNumId w:val="6"/>
  </w:num>
  <w:num w:numId="10" w16cid:durableId="300037556">
    <w:abstractNumId w:val="22"/>
  </w:num>
  <w:num w:numId="11" w16cid:durableId="1011567374">
    <w:abstractNumId w:val="24"/>
  </w:num>
  <w:num w:numId="12" w16cid:durableId="1625892746">
    <w:abstractNumId w:val="2"/>
  </w:num>
  <w:num w:numId="13" w16cid:durableId="1136607018">
    <w:abstractNumId w:val="7"/>
  </w:num>
  <w:num w:numId="14" w16cid:durableId="1920823951">
    <w:abstractNumId w:val="12"/>
  </w:num>
  <w:num w:numId="15" w16cid:durableId="1979603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5"/>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9"/>
  </w:num>
  <w:num w:numId="25" w16cid:durableId="379600862">
    <w:abstractNumId w:val="17"/>
  </w:num>
  <w:num w:numId="26" w16cid:durableId="9171796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6F31"/>
    <w:rsid w:val="0007712F"/>
    <w:rsid w:val="00077934"/>
    <w:rsid w:val="00082374"/>
    <w:rsid w:val="0008617A"/>
    <w:rsid w:val="00087E75"/>
    <w:rsid w:val="00090E7F"/>
    <w:rsid w:val="000940EE"/>
    <w:rsid w:val="00097D06"/>
    <w:rsid w:val="000A4B8F"/>
    <w:rsid w:val="000A5B2D"/>
    <w:rsid w:val="000B6F6E"/>
    <w:rsid w:val="000D4C70"/>
    <w:rsid w:val="000D72B4"/>
    <w:rsid w:val="000E0CEE"/>
    <w:rsid w:val="000E14CA"/>
    <w:rsid w:val="000E261C"/>
    <w:rsid w:val="000E2781"/>
    <w:rsid w:val="000F0126"/>
    <w:rsid w:val="000F14AE"/>
    <w:rsid w:val="000F2AD4"/>
    <w:rsid w:val="000F319E"/>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1F4BFD"/>
    <w:rsid w:val="002034C6"/>
    <w:rsid w:val="00207E1D"/>
    <w:rsid w:val="0021156E"/>
    <w:rsid w:val="0021677E"/>
    <w:rsid w:val="00220FA1"/>
    <w:rsid w:val="002210E9"/>
    <w:rsid w:val="0023286D"/>
    <w:rsid w:val="00236612"/>
    <w:rsid w:val="00236AD9"/>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2129"/>
    <w:rsid w:val="002E3103"/>
    <w:rsid w:val="002E46C1"/>
    <w:rsid w:val="002E5597"/>
    <w:rsid w:val="002E5837"/>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3ED3"/>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1BD8"/>
    <w:rsid w:val="00403222"/>
    <w:rsid w:val="0040636F"/>
    <w:rsid w:val="00412EC7"/>
    <w:rsid w:val="00413D65"/>
    <w:rsid w:val="004156E2"/>
    <w:rsid w:val="004159DB"/>
    <w:rsid w:val="00423ED7"/>
    <w:rsid w:val="004258F8"/>
    <w:rsid w:val="00427EDB"/>
    <w:rsid w:val="0043131D"/>
    <w:rsid w:val="00431EBA"/>
    <w:rsid w:val="0043250A"/>
    <w:rsid w:val="0044568F"/>
    <w:rsid w:val="00445824"/>
    <w:rsid w:val="00447CC6"/>
    <w:rsid w:val="00451121"/>
    <w:rsid w:val="00460BFB"/>
    <w:rsid w:val="00462A20"/>
    <w:rsid w:val="004646C4"/>
    <w:rsid w:val="0048153B"/>
    <w:rsid w:val="00485E56"/>
    <w:rsid w:val="00491D9D"/>
    <w:rsid w:val="004921BB"/>
    <w:rsid w:val="0049463E"/>
    <w:rsid w:val="00494D28"/>
    <w:rsid w:val="004A28C5"/>
    <w:rsid w:val="004B28CE"/>
    <w:rsid w:val="004B5118"/>
    <w:rsid w:val="004C2263"/>
    <w:rsid w:val="004C2F7F"/>
    <w:rsid w:val="004D34EC"/>
    <w:rsid w:val="004D49BF"/>
    <w:rsid w:val="004D616E"/>
    <w:rsid w:val="004D7F1D"/>
    <w:rsid w:val="004E2952"/>
    <w:rsid w:val="004E7E94"/>
    <w:rsid w:val="004F5E78"/>
    <w:rsid w:val="004F6CA7"/>
    <w:rsid w:val="004F726C"/>
    <w:rsid w:val="004F7440"/>
    <w:rsid w:val="0050020B"/>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87AD1"/>
    <w:rsid w:val="005940A2"/>
    <w:rsid w:val="005A3194"/>
    <w:rsid w:val="005B2FBE"/>
    <w:rsid w:val="005C4485"/>
    <w:rsid w:val="005D2B19"/>
    <w:rsid w:val="005D3BDC"/>
    <w:rsid w:val="005E1C12"/>
    <w:rsid w:val="005F14F5"/>
    <w:rsid w:val="006019E7"/>
    <w:rsid w:val="00602ECB"/>
    <w:rsid w:val="00613279"/>
    <w:rsid w:val="00613706"/>
    <w:rsid w:val="0061753C"/>
    <w:rsid w:val="006222BD"/>
    <w:rsid w:val="00622314"/>
    <w:rsid w:val="006239CB"/>
    <w:rsid w:val="00626407"/>
    <w:rsid w:val="00627EA2"/>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3B75"/>
    <w:rsid w:val="006B421C"/>
    <w:rsid w:val="006B6FF2"/>
    <w:rsid w:val="006B702F"/>
    <w:rsid w:val="006C1571"/>
    <w:rsid w:val="006C3A9C"/>
    <w:rsid w:val="006C3AF4"/>
    <w:rsid w:val="006C6D40"/>
    <w:rsid w:val="006C7817"/>
    <w:rsid w:val="006D0549"/>
    <w:rsid w:val="006D2D0B"/>
    <w:rsid w:val="006D346C"/>
    <w:rsid w:val="006D404C"/>
    <w:rsid w:val="006D68DA"/>
    <w:rsid w:val="006E39F9"/>
    <w:rsid w:val="006E46D4"/>
    <w:rsid w:val="006E499D"/>
    <w:rsid w:val="006E4BCA"/>
    <w:rsid w:val="006F5726"/>
    <w:rsid w:val="006F5802"/>
    <w:rsid w:val="006F5D72"/>
    <w:rsid w:val="006F634E"/>
    <w:rsid w:val="007068E8"/>
    <w:rsid w:val="00714A9E"/>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41"/>
    <w:rsid w:val="007B51F7"/>
    <w:rsid w:val="007B56DB"/>
    <w:rsid w:val="007C23B2"/>
    <w:rsid w:val="007C3498"/>
    <w:rsid w:val="007D0E00"/>
    <w:rsid w:val="007D2EBD"/>
    <w:rsid w:val="007D5428"/>
    <w:rsid w:val="007E0716"/>
    <w:rsid w:val="007E1F0D"/>
    <w:rsid w:val="007E296B"/>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C18DA"/>
    <w:rsid w:val="008D0CE1"/>
    <w:rsid w:val="008D1E90"/>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0E03"/>
    <w:rsid w:val="009412CC"/>
    <w:rsid w:val="0094531C"/>
    <w:rsid w:val="00945956"/>
    <w:rsid w:val="0095061C"/>
    <w:rsid w:val="0095079C"/>
    <w:rsid w:val="0095141F"/>
    <w:rsid w:val="009519CA"/>
    <w:rsid w:val="00951CB6"/>
    <w:rsid w:val="009663CB"/>
    <w:rsid w:val="009700FF"/>
    <w:rsid w:val="009730C8"/>
    <w:rsid w:val="00982439"/>
    <w:rsid w:val="009840F1"/>
    <w:rsid w:val="00985DEA"/>
    <w:rsid w:val="009866A6"/>
    <w:rsid w:val="00987FEA"/>
    <w:rsid w:val="009916D9"/>
    <w:rsid w:val="009964D2"/>
    <w:rsid w:val="009A1682"/>
    <w:rsid w:val="009A59C5"/>
    <w:rsid w:val="009A75D4"/>
    <w:rsid w:val="009A7624"/>
    <w:rsid w:val="009B66B6"/>
    <w:rsid w:val="009C2C2B"/>
    <w:rsid w:val="009C4E8B"/>
    <w:rsid w:val="009C76C8"/>
    <w:rsid w:val="009D07B2"/>
    <w:rsid w:val="009D1210"/>
    <w:rsid w:val="009D153E"/>
    <w:rsid w:val="009D214C"/>
    <w:rsid w:val="009D4009"/>
    <w:rsid w:val="009D50DB"/>
    <w:rsid w:val="009D5E8E"/>
    <w:rsid w:val="009D7847"/>
    <w:rsid w:val="009E65BA"/>
    <w:rsid w:val="009F0259"/>
    <w:rsid w:val="009F3DB3"/>
    <w:rsid w:val="00A005F9"/>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A57A2"/>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44C5"/>
    <w:rsid w:val="00B2502D"/>
    <w:rsid w:val="00B30722"/>
    <w:rsid w:val="00B31ED5"/>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A7238"/>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0F75"/>
    <w:rsid w:val="00BF3576"/>
    <w:rsid w:val="00BF39B6"/>
    <w:rsid w:val="00BF3BF5"/>
    <w:rsid w:val="00C0065E"/>
    <w:rsid w:val="00C046D8"/>
    <w:rsid w:val="00C059D6"/>
    <w:rsid w:val="00C077A8"/>
    <w:rsid w:val="00C1047C"/>
    <w:rsid w:val="00C11596"/>
    <w:rsid w:val="00C15AB2"/>
    <w:rsid w:val="00C16D0F"/>
    <w:rsid w:val="00C17E64"/>
    <w:rsid w:val="00C210A7"/>
    <w:rsid w:val="00C25EEF"/>
    <w:rsid w:val="00C3267F"/>
    <w:rsid w:val="00C34F3B"/>
    <w:rsid w:val="00C40A50"/>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58F5"/>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151C"/>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A77"/>
    <w:rsid w:val="00E23B57"/>
    <w:rsid w:val="00E256D9"/>
    <w:rsid w:val="00E2570A"/>
    <w:rsid w:val="00E3069C"/>
    <w:rsid w:val="00E33598"/>
    <w:rsid w:val="00E47B19"/>
    <w:rsid w:val="00E504A5"/>
    <w:rsid w:val="00E5564D"/>
    <w:rsid w:val="00E55833"/>
    <w:rsid w:val="00E62181"/>
    <w:rsid w:val="00E62DE9"/>
    <w:rsid w:val="00E71A03"/>
    <w:rsid w:val="00E7507C"/>
    <w:rsid w:val="00E77482"/>
    <w:rsid w:val="00E81DBC"/>
    <w:rsid w:val="00E86E1D"/>
    <w:rsid w:val="00E86FE7"/>
    <w:rsid w:val="00E96684"/>
    <w:rsid w:val="00EA09A8"/>
    <w:rsid w:val="00EA3B97"/>
    <w:rsid w:val="00EA4117"/>
    <w:rsid w:val="00EB1C7C"/>
    <w:rsid w:val="00EB3CEC"/>
    <w:rsid w:val="00EC1650"/>
    <w:rsid w:val="00EC34A3"/>
    <w:rsid w:val="00EC43D0"/>
    <w:rsid w:val="00ED0148"/>
    <w:rsid w:val="00ED01E6"/>
    <w:rsid w:val="00ED1BBD"/>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0435"/>
    <w:rsid w:val="00F224F2"/>
    <w:rsid w:val="00F25A77"/>
    <w:rsid w:val="00F30FB5"/>
    <w:rsid w:val="00F37A42"/>
    <w:rsid w:val="00F46729"/>
    <w:rsid w:val="00F6261C"/>
    <w:rsid w:val="00F653D2"/>
    <w:rsid w:val="00F65E3A"/>
    <w:rsid w:val="00F70E8C"/>
    <w:rsid w:val="00F75944"/>
    <w:rsid w:val="00F81812"/>
    <w:rsid w:val="00F85905"/>
    <w:rsid w:val="00F86AEB"/>
    <w:rsid w:val="00F9044E"/>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18287686">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75921115">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45185850">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1194740">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54656909">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41175146">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1431981">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57349136">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1791803">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78274181">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1238901">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0045273">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60088600">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2024-06-17T12:12:00Z</dcterms:created>
  <dcterms:modified xsi:type="dcterms:W3CDTF">2024-06-17T12:12:00Z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