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029CE26E"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2F7F77">
        <w:rPr>
          <w:rFonts w:ascii="Arial" w:hAnsi="Arial" w:cs="Arial"/>
          <w:b/>
          <w:bCs/>
        </w:rPr>
        <w:t>1</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E32842">
        <w:rPr>
          <w:rFonts w:ascii="Arial" w:hAnsi="Arial" w:cs="Arial"/>
          <w:b/>
          <w:bCs/>
        </w:rPr>
        <w:t>M</w:t>
      </w:r>
      <w:r w:rsidR="002F7F77">
        <w:rPr>
          <w:rFonts w:ascii="Arial" w:hAnsi="Arial" w:cs="Arial"/>
          <w:b/>
          <w:bCs/>
        </w:rPr>
        <w:t>atthews Second Option Exercise</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57F45BAA" w14:textId="77777777" w:rsidR="00B44998" w:rsidRPr="00B44998" w:rsidRDefault="00B44998" w:rsidP="00B44998">
      <w:pPr>
        <w:pStyle w:val="ListParagraph"/>
        <w:numPr>
          <w:ilvl w:val="0"/>
          <w:numId w:val="35"/>
        </w:numPr>
        <w:rPr>
          <w:rFonts w:ascii="Arial" w:hAnsi="Arial" w:cs="Arial"/>
          <w:color w:val="000000"/>
          <w:lang w:eastAsia="en-GB"/>
        </w:rPr>
      </w:pPr>
      <w:r w:rsidRPr="00B44998">
        <w:rPr>
          <w:rFonts w:ascii="Arial" w:hAnsi="Arial" w:cs="Arial"/>
          <w:color w:val="000000"/>
          <w:lang w:eastAsia="en-GB"/>
        </w:rPr>
        <w:t>Number of completed Expression of Interest forms received for each month from December 2023 to date, broken down by category of:</w:t>
      </w:r>
    </w:p>
    <w:p w14:paraId="546D709C" w14:textId="77777777" w:rsidR="00B44998" w:rsidRPr="00B44998" w:rsidRDefault="00B44998" w:rsidP="00B44998">
      <w:pPr>
        <w:pStyle w:val="ListParagraph"/>
        <w:numPr>
          <w:ilvl w:val="0"/>
          <w:numId w:val="36"/>
        </w:numPr>
        <w:rPr>
          <w:rFonts w:ascii="Arial" w:hAnsi="Arial" w:cs="Arial"/>
          <w:color w:val="000000"/>
          <w:lang w:eastAsia="en-GB"/>
        </w:rPr>
      </w:pPr>
      <w:r w:rsidRPr="00B44998">
        <w:rPr>
          <w:rFonts w:ascii="Arial" w:hAnsi="Arial" w:cs="Arial"/>
          <w:color w:val="000000"/>
          <w:lang w:eastAsia="en-GB"/>
        </w:rPr>
        <w:t>Current Firefighters</w:t>
      </w:r>
    </w:p>
    <w:p w14:paraId="0585E113" w14:textId="77777777" w:rsidR="00B44998" w:rsidRPr="00B44998" w:rsidRDefault="00B44998" w:rsidP="00B44998">
      <w:pPr>
        <w:pStyle w:val="ListParagraph"/>
        <w:numPr>
          <w:ilvl w:val="0"/>
          <w:numId w:val="36"/>
        </w:numPr>
        <w:rPr>
          <w:rFonts w:ascii="Arial" w:hAnsi="Arial" w:cs="Arial"/>
          <w:color w:val="000000"/>
          <w:lang w:eastAsia="en-GB"/>
        </w:rPr>
      </w:pPr>
      <w:r w:rsidRPr="00B44998">
        <w:rPr>
          <w:rFonts w:ascii="Arial" w:hAnsi="Arial" w:cs="Arial"/>
          <w:color w:val="000000"/>
          <w:lang w:eastAsia="en-GB"/>
        </w:rPr>
        <w:t>Firefighters who have left the service</w:t>
      </w:r>
    </w:p>
    <w:p w14:paraId="7C18458E" w14:textId="77777777" w:rsidR="00B44998" w:rsidRPr="00B44998" w:rsidRDefault="00B44998" w:rsidP="00B44998">
      <w:pPr>
        <w:pStyle w:val="ListParagraph"/>
        <w:numPr>
          <w:ilvl w:val="0"/>
          <w:numId w:val="36"/>
        </w:numPr>
        <w:rPr>
          <w:rFonts w:ascii="Arial" w:hAnsi="Arial" w:cs="Arial"/>
          <w:color w:val="000000"/>
          <w:lang w:eastAsia="en-GB"/>
        </w:rPr>
      </w:pPr>
      <w:r w:rsidRPr="00B44998">
        <w:rPr>
          <w:rFonts w:ascii="Arial" w:hAnsi="Arial" w:cs="Arial"/>
          <w:color w:val="000000"/>
          <w:lang w:eastAsia="en-GB"/>
        </w:rPr>
        <w:t>Firefighters who have left the service and are in receipt of a pension Firefighters who have left the service and in receipt of ill health benefits Others.</w:t>
      </w:r>
    </w:p>
    <w:p w14:paraId="4A314681" w14:textId="77777777" w:rsidR="00B44998" w:rsidRPr="00B44998" w:rsidRDefault="00B44998" w:rsidP="00B44998">
      <w:pPr>
        <w:pStyle w:val="ListParagraph"/>
        <w:numPr>
          <w:ilvl w:val="0"/>
          <w:numId w:val="35"/>
        </w:numPr>
        <w:rPr>
          <w:rFonts w:ascii="Arial" w:hAnsi="Arial" w:cs="Arial"/>
          <w:color w:val="000000"/>
          <w:lang w:eastAsia="en-GB"/>
        </w:rPr>
      </w:pPr>
      <w:r w:rsidRPr="00B44998">
        <w:rPr>
          <w:rFonts w:ascii="Arial" w:hAnsi="Arial" w:cs="Arial"/>
          <w:color w:val="000000"/>
          <w:lang w:eastAsia="en-GB"/>
        </w:rPr>
        <w:t xml:space="preserve">Historic pay scales for rank/role of Firefighter, </w:t>
      </w:r>
      <w:proofErr w:type="spellStart"/>
      <w:r w:rsidRPr="00B44998">
        <w:rPr>
          <w:rFonts w:ascii="Arial" w:hAnsi="Arial" w:cs="Arial"/>
          <w:color w:val="000000"/>
          <w:lang w:eastAsia="en-GB"/>
        </w:rPr>
        <w:t>LFf</w:t>
      </w:r>
      <w:proofErr w:type="spellEnd"/>
      <w:r w:rsidRPr="00B44998">
        <w:rPr>
          <w:rFonts w:ascii="Arial" w:hAnsi="Arial" w:cs="Arial"/>
          <w:color w:val="000000"/>
          <w:lang w:eastAsia="en-GB"/>
        </w:rPr>
        <w:t xml:space="preserve"> - Crew Manager, SubO - Watch Manager for each year from 1975 to 2008.</w:t>
      </w:r>
    </w:p>
    <w:p w14:paraId="5F6AAEAF" w14:textId="77777777" w:rsidR="00B44998" w:rsidRPr="00B44998" w:rsidRDefault="00B44998" w:rsidP="00B44998">
      <w:pPr>
        <w:pStyle w:val="ListParagraph"/>
        <w:numPr>
          <w:ilvl w:val="0"/>
          <w:numId w:val="35"/>
        </w:numPr>
        <w:rPr>
          <w:rFonts w:ascii="Arial" w:hAnsi="Arial" w:cs="Arial"/>
          <w:color w:val="000000"/>
          <w:lang w:eastAsia="en-GB"/>
        </w:rPr>
      </w:pPr>
      <w:r w:rsidRPr="00B44998">
        <w:rPr>
          <w:rFonts w:ascii="Arial" w:hAnsi="Arial" w:cs="Arial"/>
          <w:color w:val="000000"/>
          <w:lang w:eastAsia="en-GB"/>
        </w:rPr>
        <w:t>Numbers and categories of completed calculations sent to applicants to date, broken down by applicant category and month.</w:t>
      </w:r>
    </w:p>
    <w:p w14:paraId="1ABC5807" w14:textId="77777777" w:rsidR="00B44998" w:rsidRPr="00B44998" w:rsidRDefault="00B44998" w:rsidP="00B44998">
      <w:pPr>
        <w:pStyle w:val="ListParagraph"/>
        <w:numPr>
          <w:ilvl w:val="0"/>
          <w:numId w:val="35"/>
        </w:numPr>
        <w:rPr>
          <w:rFonts w:ascii="Arial" w:hAnsi="Arial" w:cs="Arial"/>
          <w:color w:val="000000"/>
          <w:lang w:eastAsia="en-GB"/>
        </w:rPr>
      </w:pPr>
      <w:r w:rsidRPr="00B44998">
        <w:rPr>
          <w:rFonts w:ascii="Arial" w:hAnsi="Arial" w:cs="Arial"/>
          <w:color w:val="000000"/>
          <w:lang w:eastAsia="en-GB"/>
        </w:rPr>
        <w:t>Cost of purchasing historic service per £1000 of salary earned for each year from 1975 to 2008 inclusive of tax relief adjustment.</w:t>
      </w:r>
    </w:p>
    <w:p w14:paraId="4689BFF6" w14:textId="77777777" w:rsidR="00B44998" w:rsidRPr="00B44998" w:rsidRDefault="00B44998" w:rsidP="00B44998">
      <w:pPr>
        <w:pStyle w:val="ListParagraph"/>
        <w:numPr>
          <w:ilvl w:val="0"/>
          <w:numId w:val="35"/>
        </w:numPr>
        <w:rPr>
          <w:rFonts w:ascii="Arial" w:hAnsi="Arial" w:cs="Arial"/>
          <w:color w:val="000000"/>
          <w:lang w:eastAsia="en-GB"/>
        </w:rPr>
      </w:pPr>
      <w:r w:rsidRPr="00B44998">
        <w:rPr>
          <w:rFonts w:ascii="Arial" w:hAnsi="Arial" w:cs="Arial"/>
          <w:color w:val="000000"/>
          <w:lang w:eastAsia="en-GB"/>
        </w:rPr>
        <w:t>Interest rate to be applied for each year of payable pension arrears from 2006 to 2024.</w:t>
      </w:r>
    </w:p>
    <w:p w14:paraId="2D961BC8" w14:textId="77777777" w:rsidR="00B44998" w:rsidRPr="00B44998" w:rsidRDefault="00B44998" w:rsidP="00B44998">
      <w:pPr>
        <w:pStyle w:val="ListParagraph"/>
        <w:numPr>
          <w:ilvl w:val="0"/>
          <w:numId w:val="35"/>
        </w:numPr>
        <w:rPr>
          <w:rFonts w:ascii="Arial" w:hAnsi="Arial" w:cs="Arial"/>
          <w:color w:val="000000"/>
          <w:lang w:eastAsia="en-GB"/>
        </w:rPr>
      </w:pPr>
      <w:r w:rsidRPr="00B44998">
        <w:rPr>
          <w:rFonts w:ascii="Arial" w:hAnsi="Arial" w:cs="Arial"/>
          <w:color w:val="000000"/>
          <w:lang w:eastAsia="en-GB"/>
        </w:rPr>
        <w:t>Number of Expressions of Interest received requesting costs of converting FPS2006 membership to the Modified Pension Arrangements and how many have been completed and sent out.</w:t>
      </w:r>
    </w:p>
    <w:p w14:paraId="131821BD" w14:textId="77777777" w:rsidR="0080180F" w:rsidRPr="0080180F" w:rsidRDefault="0080180F" w:rsidP="0080180F">
      <w:pPr>
        <w:pStyle w:val="ListParagraph"/>
        <w:rPr>
          <w:rFonts w:ascii="Arial" w:hAnsi="Arial" w:cs="Arial"/>
          <w:lang w:eastAsia="en-GB"/>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41E9A95E" w14:textId="77777777" w:rsidR="00B44998" w:rsidRPr="00B44998" w:rsidRDefault="00B44998" w:rsidP="00B44998">
      <w:pPr>
        <w:pStyle w:val="PlainText"/>
        <w:numPr>
          <w:ilvl w:val="0"/>
          <w:numId w:val="37"/>
        </w:numPr>
        <w:rPr>
          <w:rFonts w:ascii="Arial" w:hAnsi="Arial" w:cs="Arial"/>
        </w:rPr>
      </w:pPr>
      <w:r w:rsidRPr="00B44998">
        <w:rPr>
          <w:rFonts w:ascii="Arial" w:hAnsi="Arial" w:cs="Arial"/>
        </w:rPr>
        <w:t xml:space="preserve">The majority of the expressions of interest were received in January 2024. </w:t>
      </w:r>
    </w:p>
    <w:p w14:paraId="3C136339" w14:textId="77777777" w:rsidR="00B44998" w:rsidRPr="00B44998" w:rsidRDefault="00B44998" w:rsidP="00B44998">
      <w:pPr>
        <w:pStyle w:val="PlainText"/>
        <w:numPr>
          <w:ilvl w:val="0"/>
          <w:numId w:val="38"/>
        </w:numPr>
        <w:rPr>
          <w:rFonts w:ascii="Arial" w:hAnsi="Arial" w:cs="Arial"/>
        </w:rPr>
      </w:pPr>
      <w:r w:rsidRPr="00B44998">
        <w:rPr>
          <w:rFonts w:ascii="Arial" w:hAnsi="Arial" w:cs="Arial"/>
        </w:rPr>
        <w:t>81</w:t>
      </w:r>
    </w:p>
    <w:p w14:paraId="4ED26702" w14:textId="77777777" w:rsidR="00B44998" w:rsidRPr="00B44998" w:rsidRDefault="00B44998" w:rsidP="00B44998">
      <w:pPr>
        <w:pStyle w:val="PlainText"/>
        <w:numPr>
          <w:ilvl w:val="0"/>
          <w:numId w:val="38"/>
        </w:numPr>
        <w:rPr>
          <w:rFonts w:ascii="Arial" w:hAnsi="Arial" w:cs="Arial"/>
        </w:rPr>
      </w:pPr>
      <w:r w:rsidRPr="00B44998">
        <w:rPr>
          <w:rFonts w:ascii="Arial" w:hAnsi="Arial" w:cs="Arial"/>
        </w:rPr>
        <w:t>94</w:t>
      </w:r>
    </w:p>
    <w:p w14:paraId="78C6A7BE" w14:textId="77777777" w:rsidR="00B44998" w:rsidRPr="00B44998" w:rsidRDefault="00B44998" w:rsidP="00B44998">
      <w:pPr>
        <w:pStyle w:val="PlainText"/>
        <w:numPr>
          <w:ilvl w:val="0"/>
          <w:numId w:val="38"/>
        </w:numPr>
        <w:rPr>
          <w:rFonts w:ascii="Arial" w:hAnsi="Arial" w:cs="Arial"/>
        </w:rPr>
      </w:pPr>
      <w:r w:rsidRPr="00B44998">
        <w:rPr>
          <w:rFonts w:ascii="Arial" w:hAnsi="Arial" w:cs="Arial"/>
        </w:rPr>
        <w:t>56</w:t>
      </w:r>
    </w:p>
    <w:p w14:paraId="781E1310" w14:textId="77777777" w:rsidR="00B44998" w:rsidRPr="00B44998" w:rsidRDefault="00B44998" w:rsidP="00B44998">
      <w:pPr>
        <w:pStyle w:val="PlainText"/>
        <w:rPr>
          <w:rFonts w:ascii="Arial" w:hAnsi="Arial" w:cs="Arial"/>
        </w:rPr>
      </w:pPr>
    </w:p>
    <w:p w14:paraId="34CE5482" w14:textId="77777777" w:rsidR="00B44998" w:rsidRPr="00B44998" w:rsidRDefault="00B44998" w:rsidP="00B44998">
      <w:pPr>
        <w:pStyle w:val="PlainText"/>
        <w:rPr>
          <w:rFonts w:ascii="Arial" w:hAnsi="Arial" w:cs="Arial"/>
        </w:rPr>
      </w:pPr>
      <w:r w:rsidRPr="00B44998">
        <w:rPr>
          <w:rFonts w:ascii="Arial" w:hAnsi="Arial" w:cs="Arial"/>
        </w:rPr>
        <w:t xml:space="preserve">2) This information can be found within the FPS Regs and Guidance website </w:t>
      </w:r>
      <w:hyperlink r:id="rId8" w:history="1">
        <w:r w:rsidRPr="00B44998">
          <w:rPr>
            <w:rStyle w:val="Hyperlink"/>
            <w:rFonts w:ascii="Arial" w:hAnsi="Arial" w:cs="Arial"/>
          </w:rPr>
          <w:t>here</w:t>
        </w:r>
      </w:hyperlink>
      <w:r w:rsidRPr="00B44998">
        <w:rPr>
          <w:rFonts w:ascii="Arial" w:hAnsi="Arial" w:cs="Arial"/>
        </w:rPr>
        <w:t>.</w:t>
      </w:r>
    </w:p>
    <w:p w14:paraId="6A8CD744" w14:textId="77777777" w:rsidR="00B44998" w:rsidRPr="00B44998" w:rsidRDefault="00B44998" w:rsidP="00B44998">
      <w:pPr>
        <w:pStyle w:val="PlainText"/>
        <w:rPr>
          <w:rFonts w:ascii="Arial" w:hAnsi="Arial" w:cs="Arial"/>
        </w:rPr>
      </w:pPr>
      <w:r w:rsidRPr="00B44998">
        <w:rPr>
          <w:rFonts w:ascii="Arial" w:hAnsi="Arial" w:cs="Arial"/>
        </w:rPr>
        <w:t>Information which is accessible by other means is exempt information under Section 21 of the FOIA. Please see below for further details relating to Section 21.</w:t>
      </w:r>
    </w:p>
    <w:p w14:paraId="382B35F4" w14:textId="77777777" w:rsidR="00B44998" w:rsidRPr="00B44998" w:rsidRDefault="00B44998" w:rsidP="00B44998">
      <w:pPr>
        <w:pStyle w:val="PlainText"/>
        <w:rPr>
          <w:rFonts w:ascii="Arial" w:hAnsi="Arial" w:cs="Arial"/>
        </w:rPr>
      </w:pPr>
    </w:p>
    <w:p w14:paraId="6CC19AD8" w14:textId="77777777" w:rsidR="00B44998" w:rsidRPr="00B44998" w:rsidRDefault="00B44998" w:rsidP="00B44998">
      <w:pPr>
        <w:pStyle w:val="PlainText"/>
        <w:rPr>
          <w:rFonts w:ascii="Arial" w:hAnsi="Arial" w:cs="Arial"/>
        </w:rPr>
      </w:pPr>
      <w:r w:rsidRPr="00B44998">
        <w:rPr>
          <w:rFonts w:ascii="Arial" w:hAnsi="Arial" w:cs="Arial"/>
        </w:rPr>
        <w:t>3) The expressions of interest calculations were sent in July and August 2024</w:t>
      </w:r>
    </w:p>
    <w:p w14:paraId="5A5E3C11" w14:textId="77777777" w:rsidR="00B44998" w:rsidRPr="00B44998" w:rsidRDefault="00B44998" w:rsidP="00B44998">
      <w:pPr>
        <w:pStyle w:val="PlainText"/>
        <w:rPr>
          <w:rFonts w:ascii="Arial" w:hAnsi="Arial" w:cs="Arial"/>
        </w:rPr>
      </w:pPr>
      <w:r w:rsidRPr="00B44998">
        <w:rPr>
          <w:rFonts w:ascii="Arial" w:hAnsi="Arial" w:cs="Arial"/>
        </w:rPr>
        <w:t>     Current firefighters: 2</w:t>
      </w:r>
    </w:p>
    <w:p w14:paraId="6C332BB8" w14:textId="77777777" w:rsidR="00B44998" w:rsidRPr="00B44998" w:rsidRDefault="00B44998" w:rsidP="00B44998">
      <w:pPr>
        <w:pStyle w:val="PlainText"/>
        <w:rPr>
          <w:rFonts w:ascii="Arial" w:hAnsi="Arial" w:cs="Arial"/>
        </w:rPr>
      </w:pPr>
      <w:r w:rsidRPr="00B44998">
        <w:rPr>
          <w:rFonts w:ascii="Arial" w:hAnsi="Arial" w:cs="Arial"/>
        </w:rPr>
        <w:t>     Left: 13</w:t>
      </w:r>
    </w:p>
    <w:p w14:paraId="02211FFE" w14:textId="77777777" w:rsidR="00B44998" w:rsidRPr="00B44998" w:rsidRDefault="00B44998" w:rsidP="00B44998">
      <w:pPr>
        <w:pStyle w:val="PlainText"/>
        <w:rPr>
          <w:rFonts w:ascii="Arial" w:hAnsi="Arial" w:cs="Arial"/>
        </w:rPr>
      </w:pPr>
      <w:r w:rsidRPr="00B44998">
        <w:rPr>
          <w:rFonts w:ascii="Arial" w:hAnsi="Arial" w:cs="Arial"/>
        </w:rPr>
        <w:t>     Left in receipt of pension: 22</w:t>
      </w:r>
    </w:p>
    <w:p w14:paraId="4BD50759" w14:textId="77777777" w:rsidR="00B44998" w:rsidRPr="00B44998" w:rsidRDefault="00B44998" w:rsidP="00B44998">
      <w:pPr>
        <w:pStyle w:val="PlainText"/>
        <w:rPr>
          <w:rFonts w:ascii="Arial" w:hAnsi="Arial" w:cs="Arial"/>
        </w:rPr>
      </w:pPr>
    </w:p>
    <w:p w14:paraId="4687C464" w14:textId="77777777" w:rsidR="00B44998" w:rsidRPr="00B44998" w:rsidRDefault="00B44998" w:rsidP="00B44998">
      <w:pPr>
        <w:pStyle w:val="PlainText"/>
        <w:rPr>
          <w:rFonts w:ascii="Arial" w:hAnsi="Arial" w:cs="Arial"/>
        </w:rPr>
      </w:pPr>
      <w:r w:rsidRPr="00B44998">
        <w:rPr>
          <w:rFonts w:ascii="Arial" w:hAnsi="Arial" w:cs="Arial"/>
        </w:rPr>
        <w:t>4) This information is not held. The calculator provided by the Government Actuary does not enable us to make this calculation, we are therefore unable to provide the information requested.</w:t>
      </w:r>
    </w:p>
    <w:p w14:paraId="6185FFC0" w14:textId="77777777" w:rsidR="00B44998" w:rsidRPr="00B44998" w:rsidRDefault="00B44998" w:rsidP="00B44998">
      <w:pPr>
        <w:pStyle w:val="PlainText"/>
        <w:rPr>
          <w:rFonts w:ascii="Arial" w:hAnsi="Arial" w:cs="Arial"/>
        </w:rPr>
      </w:pPr>
      <w:r w:rsidRPr="00B44998">
        <w:rPr>
          <w:rFonts w:ascii="Arial" w:hAnsi="Arial" w:cs="Arial"/>
        </w:rPr>
        <w:t>5) This information is not held by HFRS. Some information can be found in the  </w:t>
      </w:r>
      <w:hyperlink r:id="rId9" w:history="1">
        <w:r w:rsidRPr="00B44998">
          <w:rPr>
            <w:rStyle w:val="Hyperlink"/>
            <w:rFonts w:ascii="Arial" w:hAnsi="Arial" w:cs="Arial"/>
          </w:rPr>
          <w:t>Firefighters’ Pension Schemes </w:t>
        </w:r>
      </w:hyperlink>
      <w:hyperlink r:id="rId10" w:history="1">
        <w:r w:rsidRPr="00B44998">
          <w:rPr>
            <w:rStyle w:val="Hyperlink"/>
            <w:rFonts w:ascii="Arial" w:hAnsi="Arial" w:cs="Arial"/>
          </w:rPr>
          <w:t>(England) (Amendment) Order 2023. In the interest of our duty to advise and assist, please see the following information: </w:t>
        </w:r>
      </w:hyperlink>
    </w:p>
    <w:p w14:paraId="6CB15744" w14:textId="77777777" w:rsidR="00B44998" w:rsidRPr="00B44998" w:rsidRDefault="00B44998" w:rsidP="00B44998">
      <w:pPr>
        <w:pStyle w:val="PlainText"/>
        <w:rPr>
          <w:rFonts w:ascii="Arial" w:hAnsi="Arial" w:cs="Arial"/>
        </w:rPr>
      </w:pPr>
    </w:p>
    <w:p w14:paraId="6A6DC8D5" w14:textId="77777777" w:rsidR="00B44998" w:rsidRPr="00B44998" w:rsidRDefault="00B44998" w:rsidP="00B44998">
      <w:pPr>
        <w:pStyle w:val="PlainText"/>
        <w:rPr>
          <w:rFonts w:ascii="Arial" w:hAnsi="Arial" w:cs="Arial"/>
        </w:rPr>
      </w:pPr>
      <w:r w:rsidRPr="00B44998">
        <w:rPr>
          <w:rFonts w:ascii="Arial" w:hAnsi="Arial" w:cs="Arial"/>
        </w:rPr>
        <w:t xml:space="preserve">Regulation 1A of Part 3 of the </w:t>
      </w:r>
      <w:proofErr w:type="spellStart"/>
      <w:r w:rsidRPr="00B44998">
        <w:rPr>
          <w:rFonts w:ascii="Arial" w:hAnsi="Arial" w:cs="Arial"/>
        </w:rPr>
        <w:t>The</w:t>
      </w:r>
      <w:proofErr w:type="spellEnd"/>
      <w:r w:rsidRPr="00B44998">
        <w:rPr>
          <w:rFonts w:ascii="Arial" w:hAnsi="Arial" w:cs="Arial"/>
        </w:rPr>
        <w:t xml:space="preserve"> Firefighters’ Pension Scheme (England) (Amendment) Order 2014, states the following: “(8) Where a person joins this Scheme as a special pensioner member and is entitled to a pension under this rule, the authority shall pay to him a lump sum equal to the value, together with interest, of the pension payments (“the past pension payments”) he would have received up to the date of payment of the lump sum if at the date of his retirement he had been a member of this Scheme who had made contributions equivalent to his contributions under rules 6A and 6B of Part 11 and shall thereafter pay him a special member’s ordinary pension. (9) The interest payable in </w:t>
      </w:r>
      <w:r w:rsidRPr="00B44998">
        <w:rPr>
          <w:rFonts w:ascii="Arial" w:hAnsi="Arial" w:cs="Arial"/>
        </w:rPr>
        <w:lastRenderedPageBreak/>
        <w:t>accordance with paragraph (8) is payable as follows— (a)for the purposes of calculating interest under this paragraph it shall be assumed that the past pension payments were payable from the date that the member reached normal retirement age; (b)interest starts to accrue from the date that the first past pension payment would have been made in accordance with sub-paragraph (a) and ceases to accrue on the date of payment of the lump sum in accordance with paragraph (8) of this rule; (c)interest shall be calculated by applying the past interest rate to the past pension payment compounded monthly between the month each past pension payment would have been made in accordance with sub-paragraph (a) until the date of payment of the lump sum, and for the purposes of this rule “past interest rate” is a rate equivalent to the interest available on the most recent issue of five-year fixed interest savings certificates from National Savings and Investments available on the 15th day of each month which would have been applicable to the period when the past pension payment in question would have been made in accordance with sub-paragraph (a)”.</w:t>
      </w:r>
    </w:p>
    <w:p w14:paraId="10BE7A69" w14:textId="77777777" w:rsidR="00B44998" w:rsidRPr="00B44998" w:rsidRDefault="00B44998" w:rsidP="00B44998">
      <w:pPr>
        <w:pStyle w:val="PlainText"/>
        <w:rPr>
          <w:rFonts w:ascii="Arial" w:hAnsi="Arial" w:cs="Arial"/>
        </w:rPr>
      </w:pPr>
    </w:p>
    <w:p w14:paraId="766AB840" w14:textId="77777777" w:rsidR="00B44998" w:rsidRPr="00B44998" w:rsidRDefault="00B44998" w:rsidP="00B44998">
      <w:pPr>
        <w:pStyle w:val="PlainText"/>
        <w:rPr>
          <w:rFonts w:ascii="Arial" w:hAnsi="Arial" w:cs="Arial"/>
        </w:rPr>
      </w:pPr>
      <w:r w:rsidRPr="00B44998">
        <w:rPr>
          <w:rFonts w:ascii="Arial" w:hAnsi="Arial" w:cs="Arial"/>
        </w:rPr>
        <w:t>6) Over 231 expressions of interest requesting calculations of converting FPS2006 membership to the Modified Pension Arrangements have been received. Of the 231 expressions of interest, not all are eligible to be converted. 37 calculations, which include the option of converting FPS2006 membership to the Modified Pension Arrangements have been sent out. This figure includes those who have not requested a calculation of converting FPS2006 membership to the Modified Pension Arrangements, but it has been offered anyway if the option does exist.</w:t>
      </w:r>
    </w:p>
    <w:p w14:paraId="772B7299" w14:textId="77777777" w:rsidR="00B44998" w:rsidRPr="00B44998" w:rsidRDefault="00B44998" w:rsidP="00B44998">
      <w:pPr>
        <w:pStyle w:val="PlainText"/>
        <w:rPr>
          <w:rFonts w:ascii="Arial" w:hAnsi="Arial" w:cs="Arial"/>
        </w:rPr>
      </w:pPr>
      <w:r w:rsidRPr="00B44998">
        <w:rPr>
          <w:rFonts w:ascii="Arial" w:hAnsi="Arial" w:cs="Arial"/>
        </w:rPr>
        <w:t> </w:t>
      </w:r>
    </w:p>
    <w:p w14:paraId="58D84174" w14:textId="77777777" w:rsidR="00B44998" w:rsidRPr="00B44998" w:rsidRDefault="00B44998" w:rsidP="00B44998">
      <w:pPr>
        <w:pStyle w:val="PlainText"/>
        <w:rPr>
          <w:rFonts w:ascii="Arial" w:hAnsi="Arial" w:cs="Arial"/>
          <w:b/>
          <w:bCs/>
        </w:rPr>
      </w:pPr>
      <w:r w:rsidRPr="00B44998">
        <w:rPr>
          <w:rFonts w:ascii="Arial" w:hAnsi="Arial" w:cs="Arial"/>
          <w:b/>
          <w:bCs/>
        </w:rPr>
        <w:t>Section 21</w:t>
      </w:r>
    </w:p>
    <w:p w14:paraId="7B53F24D" w14:textId="77777777" w:rsidR="00B44998" w:rsidRPr="00B44998" w:rsidRDefault="00B44998" w:rsidP="00B44998">
      <w:pPr>
        <w:pStyle w:val="PlainText"/>
        <w:rPr>
          <w:rFonts w:ascii="Arial" w:hAnsi="Arial" w:cs="Arial"/>
        </w:rPr>
      </w:pPr>
    </w:p>
    <w:p w14:paraId="5E837B24" w14:textId="77777777" w:rsidR="00B44998" w:rsidRPr="00B44998" w:rsidRDefault="00B44998" w:rsidP="00B44998">
      <w:pPr>
        <w:pStyle w:val="PlainText"/>
        <w:rPr>
          <w:rFonts w:ascii="Arial" w:hAnsi="Arial" w:cs="Arial"/>
          <w:b/>
          <w:bCs/>
        </w:rPr>
      </w:pPr>
      <w:r w:rsidRPr="00B44998">
        <w:rPr>
          <w:rFonts w:ascii="Arial" w:hAnsi="Arial" w:cs="Arial"/>
          <w:b/>
          <w:bCs/>
        </w:rPr>
        <w:t>21          Information accessible to applicant by other means.</w:t>
      </w:r>
    </w:p>
    <w:p w14:paraId="751807FD" w14:textId="77777777" w:rsidR="00B44998" w:rsidRPr="00B44998" w:rsidRDefault="00B44998" w:rsidP="00B44998">
      <w:pPr>
        <w:pStyle w:val="PlainText"/>
        <w:rPr>
          <w:rFonts w:ascii="Arial" w:hAnsi="Arial" w:cs="Arial"/>
        </w:rPr>
      </w:pPr>
      <w:r w:rsidRPr="00B44998">
        <w:rPr>
          <w:rFonts w:ascii="Arial" w:hAnsi="Arial" w:cs="Arial"/>
        </w:rPr>
        <w:t>(1) Information which is reasonably accessible to the applicant otherwise than under section 1 is exempt information.</w:t>
      </w:r>
    </w:p>
    <w:p w14:paraId="35F7750A" w14:textId="77777777" w:rsidR="00B44998" w:rsidRPr="00B44998" w:rsidRDefault="00B44998" w:rsidP="00B44998">
      <w:pPr>
        <w:pStyle w:val="PlainText"/>
        <w:rPr>
          <w:rFonts w:ascii="Arial" w:hAnsi="Arial" w:cs="Arial"/>
        </w:rPr>
      </w:pPr>
      <w:r w:rsidRPr="00B44998">
        <w:rPr>
          <w:rFonts w:ascii="Arial" w:hAnsi="Arial" w:cs="Arial"/>
        </w:rPr>
        <w:t>(2) For the purposes of subsection (1)—</w:t>
      </w:r>
    </w:p>
    <w:p w14:paraId="7151CB7C" w14:textId="77777777" w:rsidR="00B44998" w:rsidRPr="00B44998" w:rsidRDefault="00B44998" w:rsidP="00B44998">
      <w:pPr>
        <w:pStyle w:val="PlainText"/>
        <w:rPr>
          <w:rFonts w:ascii="Arial" w:hAnsi="Arial" w:cs="Arial"/>
        </w:rPr>
      </w:pPr>
      <w:r w:rsidRPr="00B44998">
        <w:rPr>
          <w:rFonts w:ascii="Arial" w:hAnsi="Arial" w:cs="Arial"/>
        </w:rPr>
        <w:t>(a) information may be reasonably accessible to the applicant even though it is accessible only on payment, and</w:t>
      </w:r>
    </w:p>
    <w:p w14:paraId="69F83F7E" w14:textId="77777777" w:rsidR="00B44998" w:rsidRPr="00B44998" w:rsidRDefault="00B44998" w:rsidP="00B44998">
      <w:pPr>
        <w:pStyle w:val="PlainText"/>
        <w:rPr>
          <w:rFonts w:ascii="Arial" w:hAnsi="Arial" w:cs="Arial"/>
        </w:rPr>
      </w:pPr>
      <w:r w:rsidRPr="00B44998">
        <w:rPr>
          <w:rFonts w:ascii="Arial" w:hAnsi="Arial" w:cs="Arial"/>
        </w:rPr>
        <w:t>(b) 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73A8B0E4" w14:textId="77777777" w:rsidR="00B44998" w:rsidRPr="00B44998" w:rsidRDefault="00B44998" w:rsidP="00B44998">
      <w:pPr>
        <w:pStyle w:val="PlainText"/>
        <w:rPr>
          <w:rFonts w:ascii="Arial" w:hAnsi="Arial" w:cs="Arial"/>
        </w:rPr>
      </w:pPr>
    </w:p>
    <w:p w14:paraId="29971F27" w14:textId="77777777" w:rsidR="00B44998" w:rsidRPr="00B44998" w:rsidRDefault="00B44998" w:rsidP="00B44998">
      <w:pPr>
        <w:pStyle w:val="PlainText"/>
        <w:rPr>
          <w:rFonts w:ascii="Arial" w:hAnsi="Arial" w:cs="Arial"/>
        </w:rPr>
      </w:pPr>
      <w:r w:rsidRPr="00B44998">
        <w:rPr>
          <w:rFonts w:ascii="Arial" w:hAnsi="Arial" w:cs="Arial"/>
        </w:rPr>
        <w:t xml:space="preserve">Further information on the FOIA can be found </w:t>
      </w:r>
      <w:hyperlink r:id="rId11" w:history="1">
        <w:r w:rsidRPr="00B44998">
          <w:rPr>
            <w:rStyle w:val="Hyperlink"/>
            <w:rFonts w:ascii="Arial" w:hAnsi="Arial" w:cs="Arial"/>
          </w:rPr>
          <w:t>here</w:t>
        </w:r>
      </w:hyperlink>
      <w:r w:rsidRPr="00B44998">
        <w:rPr>
          <w:rFonts w:ascii="Arial" w:hAnsi="Arial" w:cs="Arial"/>
        </w:rPr>
        <w:t xml:space="preserve">. </w:t>
      </w:r>
    </w:p>
    <w:p w14:paraId="2242A91B" w14:textId="3F4B6A17" w:rsidR="005F50CE" w:rsidRDefault="005F50CE" w:rsidP="001054D7">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B44998" w:rsidP="007231D8">
      <w:pPr>
        <w:rPr>
          <w:rFonts w:ascii="Arial" w:hAnsi="Arial" w:cs="Arial"/>
        </w:rPr>
      </w:pPr>
      <w:hyperlink r:id="rId12"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81C"/>
    <w:multiLevelType w:val="hybridMultilevel"/>
    <w:tmpl w:val="78887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00050"/>
    <w:multiLevelType w:val="hybridMultilevel"/>
    <w:tmpl w:val="3BE2C22E"/>
    <w:lvl w:ilvl="0" w:tplc="0E02D3CE">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0" w15:restartNumberingAfterBreak="0">
    <w:nsid w:val="1D882980"/>
    <w:multiLevelType w:val="hybridMultilevel"/>
    <w:tmpl w:val="FD3A435C"/>
    <w:lvl w:ilvl="0" w:tplc="40F4227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1"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114A4"/>
    <w:multiLevelType w:val="hybridMultilevel"/>
    <w:tmpl w:val="1A048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0"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0"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0"/>
  </w:num>
  <w:num w:numId="2" w16cid:durableId="954605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6"/>
  </w:num>
  <w:num w:numId="5" w16cid:durableId="1480224749">
    <w:abstractNumId w:val="26"/>
  </w:num>
  <w:num w:numId="6" w16cid:durableId="1461726425">
    <w:abstractNumId w:val="24"/>
  </w:num>
  <w:num w:numId="7" w16cid:durableId="745953970">
    <w:abstractNumId w:val="12"/>
  </w:num>
  <w:num w:numId="8" w16cid:durableId="572811149">
    <w:abstractNumId w:val="8"/>
  </w:num>
  <w:num w:numId="9" w16cid:durableId="110476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7"/>
  </w:num>
  <w:num w:numId="11" w16cid:durableId="609288569">
    <w:abstractNumId w:val="25"/>
  </w:num>
  <w:num w:numId="12" w16cid:durableId="943801818">
    <w:abstractNumId w:val="18"/>
  </w:num>
  <w:num w:numId="13" w16cid:durableId="1883859672">
    <w:abstractNumId w:val="3"/>
  </w:num>
  <w:num w:numId="14" w16cid:durableId="475685152">
    <w:abstractNumId w:val="2"/>
  </w:num>
  <w:num w:numId="15" w16cid:durableId="680468818">
    <w:abstractNumId w:val="32"/>
  </w:num>
  <w:num w:numId="16" w16cid:durableId="1963607697">
    <w:abstractNumId w:val="33"/>
  </w:num>
  <w:num w:numId="17" w16cid:durableId="1582326319">
    <w:abstractNumId w:val="31"/>
  </w:num>
  <w:num w:numId="18" w16cid:durableId="9835077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6"/>
  </w:num>
  <w:num w:numId="20" w16cid:durableId="1287086184">
    <w:abstractNumId w:val="16"/>
  </w:num>
  <w:num w:numId="21" w16cid:durableId="1838033369">
    <w:abstractNumId w:val="35"/>
  </w:num>
  <w:num w:numId="22" w16cid:durableId="940182111">
    <w:abstractNumId w:val="1"/>
  </w:num>
  <w:num w:numId="23" w16cid:durableId="2093770873">
    <w:abstractNumId w:val="17"/>
  </w:num>
  <w:num w:numId="24" w16cid:durableId="1458447915">
    <w:abstractNumId w:val="23"/>
  </w:num>
  <w:num w:numId="25" w16cid:durableId="1387070763">
    <w:abstractNumId w:val="4"/>
  </w:num>
  <w:num w:numId="26" w16cid:durableId="1929345119">
    <w:abstractNumId w:val="7"/>
  </w:num>
  <w:num w:numId="27" w16cid:durableId="790780760">
    <w:abstractNumId w:val="28"/>
  </w:num>
  <w:num w:numId="28" w16cid:durableId="1607808765">
    <w:abstractNumId w:val="13"/>
  </w:num>
  <w:num w:numId="29" w16cid:durableId="1778014998">
    <w:abstractNumId w:val="5"/>
  </w:num>
  <w:num w:numId="30" w16cid:durableId="1443845763">
    <w:abstractNumId w:val="11"/>
  </w:num>
  <w:num w:numId="31" w16cid:durableId="1701472250">
    <w:abstractNumId w:val="21"/>
  </w:num>
  <w:num w:numId="32" w16cid:durableId="852038773">
    <w:abstractNumId w:val="20"/>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9"/>
  </w:num>
  <w:num w:numId="35" w16cid:durableId="2014264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1896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989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8180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7DA0"/>
    <w:rsid w:val="00094D19"/>
    <w:rsid w:val="000E0CEE"/>
    <w:rsid w:val="000E3F7D"/>
    <w:rsid w:val="000F05DB"/>
    <w:rsid w:val="000F4C29"/>
    <w:rsid w:val="00103D6B"/>
    <w:rsid w:val="001054D7"/>
    <w:rsid w:val="00172CAC"/>
    <w:rsid w:val="001C0324"/>
    <w:rsid w:val="001E328C"/>
    <w:rsid w:val="00244B24"/>
    <w:rsid w:val="0025203F"/>
    <w:rsid w:val="002A335C"/>
    <w:rsid w:val="002E3103"/>
    <w:rsid w:val="002E5597"/>
    <w:rsid w:val="002F7F77"/>
    <w:rsid w:val="003327A7"/>
    <w:rsid w:val="00345400"/>
    <w:rsid w:val="0037141D"/>
    <w:rsid w:val="003C6BC7"/>
    <w:rsid w:val="003E4E8C"/>
    <w:rsid w:val="003F69CC"/>
    <w:rsid w:val="0044305B"/>
    <w:rsid w:val="0045374B"/>
    <w:rsid w:val="00461AD7"/>
    <w:rsid w:val="004646C4"/>
    <w:rsid w:val="00473E5D"/>
    <w:rsid w:val="00485E56"/>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319C1"/>
    <w:rsid w:val="007528A0"/>
    <w:rsid w:val="0076325A"/>
    <w:rsid w:val="007745A6"/>
    <w:rsid w:val="00781890"/>
    <w:rsid w:val="00791CA9"/>
    <w:rsid w:val="00792A7C"/>
    <w:rsid w:val="007B4810"/>
    <w:rsid w:val="007D2EBD"/>
    <w:rsid w:val="007F1636"/>
    <w:rsid w:val="007F5F58"/>
    <w:rsid w:val="0080180F"/>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44998"/>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32842"/>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44789682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28404745">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68251602">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407172">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sregs.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0/36/contents" TargetMode="External"/><Relationship Id="rId5" Type="http://schemas.openxmlformats.org/officeDocument/2006/relationships/styles" Target="styles.xml"/><Relationship Id="rId10" Type="http://schemas.openxmlformats.org/officeDocument/2006/relationships/hyperlink" Target="https://www.legislation.gov.uk/uksi/2023/986/contents/made" TargetMode="External"/><Relationship Id="rId4" Type="http://schemas.openxmlformats.org/officeDocument/2006/relationships/numbering" Target="numbering.xml"/><Relationship Id="rId9" Type="http://schemas.openxmlformats.org/officeDocument/2006/relationships/hyperlink" Target="https://www.legislation.gov.uk/uksi/2023/986/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2024-08-29T11:49:00Z</dcterms:created>
  <dcterms:modified xsi:type="dcterms:W3CDTF">2024-08-29T11:50:00Z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