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20D03CE9"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8B665E">
        <w:rPr>
          <w:rFonts w:ascii="Arial" w:hAnsi="Arial" w:cs="Arial"/>
          <w:b/>
          <w:bCs/>
        </w:rPr>
        <w:t>5</w:t>
      </w:r>
      <w:r w:rsidR="00461AD7">
        <w:rPr>
          <w:rFonts w:ascii="Arial" w:hAnsi="Arial" w:cs="Arial"/>
          <w:b/>
          <w:bCs/>
        </w:rPr>
        <w:t>3</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461AD7">
        <w:rPr>
          <w:rFonts w:ascii="Arial" w:hAnsi="Arial" w:cs="Arial"/>
          <w:b/>
          <w:bCs/>
        </w:rPr>
        <w:t>Fires Involving Balconies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71F11650"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p>
    <w:p w14:paraId="5AC7744B" w14:textId="672E6B65" w:rsidR="0080180F" w:rsidRPr="0080180F" w:rsidRDefault="0080180F" w:rsidP="0080180F">
      <w:pPr>
        <w:rPr>
          <w:rFonts w:ascii="Arial" w:hAnsi="Arial" w:cs="Arial"/>
          <w:lang w:eastAsia="en-GB"/>
        </w:rPr>
      </w:pPr>
      <w:r w:rsidRPr="0080180F">
        <w:rPr>
          <w:rFonts w:ascii="Arial" w:hAnsi="Arial" w:cs="Arial"/>
          <w:lang w:eastAsia="en-GB"/>
        </w:rPr>
        <w:t xml:space="preserve">Please supply me with data relating to fires on balconies on residential buildings in your area, as </w:t>
      </w:r>
      <w:r w:rsidRPr="0080180F">
        <w:rPr>
          <w:rFonts w:ascii="Arial" w:hAnsi="Arial" w:cs="Arial"/>
          <w:lang w:eastAsia="en-GB"/>
        </w:rPr>
        <w:t>follows.</w:t>
      </w:r>
      <w:r w:rsidRPr="0080180F">
        <w:rPr>
          <w:rFonts w:ascii="Arial" w:hAnsi="Arial" w:cs="Arial"/>
          <w:lang w:eastAsia="en-GB"/>
        </w:rPr>
        <w:t xml:space="preserve">  </w:t>
      </w:r>
    </w:p>
    <w:p w14:paraId="30C53B76" w14:textId="371B2CF0" w:rsidR="0080180F" w:rsidRPr="0080180F" w:rsidRDefault="0080180F" w:rsidP="0080180F">
      <w:pPr>
        <w:pStyle w:val="ListParagraph"/>
        <w:numPr>
          <w:ilvl w:val="0"/>
          <w:numId w:val="31"/>
        </w:numPr>
        <w:rPr>
          <w:rFonts w:ascii="Arial" w:hAnsi="Arial" w:cs="Arial"/>
          <w:lang w:eastAsia="en-GB"/>
        </w:rPr>
      </w:pPr>
      <w:r w:rsidRPr="0080180F">
        <w:rPr>
          <w:rFonts w:ascii="Arial" w:hAnsi="Arial" w:cs="Arial"/>
          <w:lang w:eastAsia="en-GB"/>
        </w:rPr>
        <w:t>How many fires involving balconies occurred in total between 1st August 2023 and 31st July 2024?</w:t>
      </w:r>
    </w:p>
    <w:p w14:paraId="1986EC05" w14:textId="36181497" w:rsidR="0080180F" w:rsidRPr="0080180F" w:rsidRDefault="0080180F" w:rsidP="0080180F">
      <w:pPr>
        <w:pStyle w:val="ListParagraph"/>
        <w:numPr>
          <w:ilvl w:val="0"/>
          <w:numId w:val="31"/>
        </w:numPr>
        <w:rPr>
          <w:rFonts w:ascii="Arial" w:hAnsi="Arial" w:cs="Arial"/>
          <w:lang w:eastAsia="en-GB"/>
        </w:rPr>
      </w:pPr>
      <w:r w:rsidRPr="0080180F">
        <w:rPr>
          <w:rFonts w:ascii="Arial" w:hAnsi="Arial" w:cs="Arial"/>
          <w:lang w:eastAsia="en-GB"/>
        </w:rPr>
        <w:t>In the same period, how many fires occurred where balconies were found to have contributed to the spread of the fire across the external walls?</w:t>
      </w:r>
    </w:p>
    <w:p w14:paraId="75F15AC3" w14:textId="58E782B3" w:rsidR="007F1636" w:rsidRDefault="0080180F" w:rsidP="00AA3E0A">
      <w:pPr>
        <w:pStyle w:val="ListParagraph"/>
        <w:numPr>
          <w:ilvl w:val="0"/>
          <w:numId w:val="31"/>
        </w:numPr>
        <w:rPr>
          <w:rFonts w:ascii="Arial" w:hAnsi="Arial" w:cs="Arial"/>
          <w:lang w:eastAsia="en-GB"/>
        </w:rPr>
      </w:pPr>
      <w:r w:rsidRPr="0080180F">
        <w:rPr>
          <w:rFonts w:ascii="Arial" w:hAnsi="Arial" w:cs="Arial"/>
          <w:lang w:eastAsia="en-GB"/>
        </w:rPr>
        <w:t>Please provide data on the causes of any fires that started on balconies in the period (ie; barbecue, discarded cigarette, electrical appliance fault, etc) and please provide the number of occurrences for each cause.</w:t>
      </w:r>
    </w:p>
    <w:p w14:paraId="131821BD" w14:textId="77777777" w:rsidR="0080180F" w:rsidRPr="0080180F" w:rsidRDefault="0080180F" w:rsidP="0080180F">
      <w:pPr>
        <w:pStyle w:val="ListParagraph"/>
        <w:rPr>
          <w:rFonts w:ascii="Arial" w:hAnsi="Arial" w:cs="Arial"/>
          <w:lang w:eastAsia="en-GB"/>
        </w:rPr>
      </w:pP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3FB2BB01" w14:textId="77777777" w:rsidR="008E4321" w:rsidRPr="008E4321" w:rsidRDefault="008E4321" w:rsidP="008E4321">
      <w:pPr>
        <w:pStyle w:val="PlainText"/>
        <w:rPr>
          <w:rFonts w:ascii="Arial" w:hAnsi="Arial" w:cs="Arial"/>
        </w:rPr>
      </w:pPr>
      <w:r w:rsidRPr="008E4321">
        <w:rPr>
          <w:rFonts w:ascii="Arial" w:hAnsi="Arial" w:cs="Arial"/>
        </w:rPr>
        <w:t xml:space="preserve"> Please see below – there is just one incident returned in this period relating to balcony fires. There is no category specific to balconies, so this incident was found using a message search query. </w:t>
      </w:r>
    </w:p>
    <w:tbl>
      <w:tblPr>
        <w:tblpPr w:leftFromText="180" w:rightFromText="180" w:vertAnchor="text" w:horzAnchor="page" w:tblpX="1" w:tblpY="123"/>
        <w:tblW w:w="16934" w:type="dxa"/>
        <w:tblCellMar>
          <w:left w:w="0" w:type="dxa"/>
          <w:right w:w="0" w:type="dxa"/>
        </w:tblCellMar>
        <w:tblLook w:val="04A0" w:firstRow="1" w:lastRow="0" w:firstColumn="1" w:lastColumn="0" w:noHBand="0" w:noVBand="1"/>
      </w:tblPr>
      <w:tblGrid>
        <w:gridCol w:w="1952"/>
        <w:gridCol w:w="1318"/>
        <w:gridCol w:w="2950"/>
        <w:gridCol w:w="2977"/>
        <w:gridCol w:w="8570"/>
      </w:tblGrid>
      <w:tr w:rsidR="0044305B" w:rsidRPr="008E4321" w14:paraId="0FEEFBF4" w14:textId="77777777" w:rsidTr="00077DA0">
        <w:trPr>
          <w:trHeight w:val="288"/>
        </w:trPr>
        <w:tc>
          <w:tcPr>
            <w:tcW w:w="1952" w:type="dxa"/>
            <w:tcBorders>
              <w:top w:val="single" w:sz="8" w:space="0" w:color="000000"/>
              <w:left w:val="nil"/>
              <w:bottom w:val="nil"/>
              <w:right w:val="nil"/>
            </w:tcBorders>
            <w:shd w:val="clear" w:color="auto" w:fill="000000"/>
            <w:noWrap/>
            <w:tcMar>
              <w:top w:w="0" w:type="dxa"/>
              <w:left w:w="108" w:type="dxa"/>
              <w:bottom w:w="0" w:type="dxa"/>
              <w:right w:w="108" w:type="dxa"/>
            </w:tcMar>
            <w:vAlign w:val="bottom"/>
            <w:hideMark/>
          </w:tcPr>
          <w:p w14:paraId="40FD3D5B" w14:textId="77777777" w:rsidR="00077DA0" w:rsidRPr="008E4321" w:rsidRDefault="00077DA0" w:rsidP="00077DA0">
            <w:pPr>
              <w:pStyle w:val="PlainText"/>
              <w:rPr>
                <w:rFonts w:ascii="Arial" w:hAnsi="Arial" w:cs="Arial"/>
                <w:b/>
                <w:bCs/>
                <w:sz w:val="20"/>
                <w:szCs w:val="20"/>
              </w:rPr>
            </w:pPr>
            <w:r w:rsidRPr="008E4321">
              <w:rPr>
                <w:rFonts w:ascii="Arial" w:hAnsi="Arial" w:cs="Arial"/>
                <w:b/>
                <w:bCs/>
                <w:sz w:val="20"/>
                <w:szCs w:val="20"/>
              </w:rPr>
              <w:t>INCIDENT_TYPE</w:t>
            </w:r>
          </w:p>
        </w:tc>
        <w:tc>
          <w:tcPr>
            <w:tcW w:w="1318" w:type="dxa"/>
            <w:tcBorders>
              <w:top w:val="single" w:sz="8" w:space="0" w:color="000000"/>
              <w:left w:val="nil"/>
              <w:bottom w:val="nil"/>
              <w:right w:val="nil"/>
            </w:tcBorders>
            <w:shd w:val="clear" w:color="auto" w:fill="000000"/>
            <w:noWrap/>
            <w:tcMar>
              <w:top w:w="0" w:type="dxa"/>
              <w:left w:w="108" w:type="dxa"/>
              <w:bottom w:w="0" w:type="dxa"/>
              <w:right w:w="108" w:type="dxa"/>
            </w:tcMar>
            <w:vAlign w:val="bottom"/>
            <w:hideMark/>
          </w:tcPr>
          <w:p w14:paraId="4E279FE7" w14:textId="77777777" w:rsidR="00077DA0" w:rsidRPr="008E4321" w:rsidRDefault="00077DA0" w:rsidP="00077DA0">
            <w:pPr>
              <w:pStyle w:val="PlainText"/>
              <w:rPr>
                <w:rFonts w:ascii="Arial" w:hAnsi="Arial" w:cs="Arial"/>
                <w:b/>
                <w:bCs/>
                <w:sz w:val="20"/>
                <w:szCs w:val="20"/>
              </w:rPr>
            </w:pPr>
            <w:r w:rsidRPr="008E4321">
              <w:rPr>
                <w:rFonts w:ascii="Arial" w:hAnsi="Arial" w:cs="Arial"/>
                <w:b/>
                <w:bCs/>
                <w:sz w:val="20"/>
                <w:szCs w:val="20"/>
              </w:rPr>
              <w:t>DATE</w:t>
            </w:r>
          </w:p>
        </w:tc>
        <w:tc>
          <w:tcPr>
            <w:tcW w:w="2117" w:type="dxa"/>
            <w:tcBorders>
              <w:top w:val="single" w:sz="8" w:space="0" w:color="000000"/>
              <w:left w:val="nil"/>
              <w:bottom w:val="nil"/>
              <w:right w:val="nil"/>
            </w:tcBorders>
            <w:shd w:val="clear" w:color="auto" w:fill="000000"/>
            <w:noWrap/>
            <w:tcMar>
              <w:top w:w="0" w:type="dxa"/>
              <w:left w:w="108" w:type="dxa"/>
              <w:bottom w:w="0" w:type="dxa"/>
              <w:right w:w="108" w:type="dxa"/>
            </w:tcMar>
            <w:vAlign w:val="bottom"/>
            <w:hideMark/>
          </w:tcPr>
          <w:p w14:paraId="612E4492" w14:textId="77777777" w:rsidR="00077DA0" w:rsidRPr="008E4321" w:rsidRDefault="00077DA0" w:rsidP="00077DA0">
            <w:pPr>
              <w:pStyle w:val="PlainText"/>
              <w:rPr>
                <w:rFonts w:ascii="Arial" w:hAnsi="Arial" w:cs="Arial"/>
                <w:b/>
                <w:bCs/>
                <w:sz w:val="20"/>
                <w:szCs w:val="20"/>
              </w:rPr>
            </w:pPr>
            <w:r w:rsidRPr="008E4321">
              <w:rPr>
                <w:rFonts w:ascii="Arial" w:hAnsi="Arial" w:cs="Arial"/>
                <w:b/>
                <w:bCs/>
                <w:sz w:val="20"/>
                <w:szCs w:val="20"/>
              </w:rPr>
              <w:t>CATEGORY_OF_PROPERTY</w:t>
            </w:r>
          </w:p>
        </w:tc>
        <w:tc>
          <w:tcPr>
            <w:tcW w:w="2977" w:type="dxa"/>
            <w:tcBorders>
              <w:top w:val="single" w:sz="8" w:space="0" w:color="000000"/>
              <w:left w:val="nil"/>
              <w:bottom w:val="nil"/>
              <w:right w:val="nil"/>
            </w:tcBorders>
            <w:shd w:val="clear" w:color="auto" w:fill="000000"/>
            <w:noWrap/>
            <w:tcMar>
              <w:top w:w="0" w:type="dxa"/>
              <w:left w:w="108" w:type="dxa"/>
              <w:bottom w:w="0" w:type="dxa"/>
              <w:right w:w="108" w:type="dxa"/>
            </w:tcMar>
            <w:vAlign w:val="bottom"/>
            <w:hideMark/>
          </w:tcPr>
          <w:p w14:paraId="47098535" w14:textId="77777777" w:rsidR="00077DA0" w:rsidRPr="008E4321" w:rsidRDefault="00077DA0" w:rsidP="00077DA0">
            <w:pPr>
              <w:pStyle w:val="PlainText"/>
              <w:rPr>
                <w:rFonts w:ascii="Arial" w:hAnsi="Arial" w:cs="Arial"/>
                <w:b/>
                <w:bCs/>
                <w:sz w:val="20"/>
                <w:szCs w:val="20"/>
              </w:rPr>
            </w:pPr>
            <w:r w:rsidRPr="008E4321">
              <w:rPr>
                <w:rFonts w:ascii="Arial" w:hAnsi="Arial" w:cs="Arial"/>
                <w:b/>
                <w:bCs/>
                <w:sz w:val="20"/>
                <w:szCs w:val="20"/>
              </w:rPr>
              <w:t>MAIN_CAUSE</w:t>
            </w:r>
          </w:p>
        </w:tc>
        <w:tc>
          <w:tcPr>
            <w:tcW w:w="8570" w:type="dxa"/>
            <w:tcBorders>
              <w:top w:val="single" w:sz="8" w:space="0" w:color="000000"/>
              <w:left w:val="nil"/>
              <w:bottom w:val="nil"/>
              <w:right w:val="single" w:sz="8" w:space="0" w:color="000000"/>
            </w:tcBorders>
            <w:shd w:val="clear" w:color="auto" w:fill="000000"/>
            <w:noWrap/>
            <w:tcMar>
              <w:top w:w="0" w:type="dxa"/>
              <w:left w:w="108" w:type="dxa"/>
              <w:bottom w:w="0" w:type="dxa"/>
              <w:right w:w="108" w:type="dxa"/>
            </w:tcMar>
            <w:vAlign w:val="bottom"/>
            <w:hideMark/>
          </w:tcPr>
          <w:p w14:paraId="534818DF" w14:textId="77777777" w:rsidR="00077DA0" w:rsidRPr="008E4321" w:rsidRDefault="00077DA0" w:rsidP="00077DA0">
            <w:pPr>
              <w:pStyle w:val="PlainText"/>
              <w:rPr>
                <w:rFonts w:ascii="Arial" w:hAnsi="Arial" w:cs="Arial"/>
                <w:b/>
                <w:bCs/>
                <w:sz w:val="20"/>
                <w:szCs w:val="20"/>
              </w:rPr>
            </w:pPr>
            <w:r w:rsidRPr="008E4321">
              <w:rPr>
                <w:rFonts w:ascii="Arial" w:hAnsi="Arial" w:cs="Arial"/>
                <w:b/>
                <w:bCs/>
                <w:sz w:val="20"/>
                <w:szCs w:val="20"/>
              </w:rPr>
              <w:t>SOURCE_OF_IGNITION</w:t>
            </w:r>
          </w:p>
        </w:tc>
      </w:tr>
      <w:tr w:rsidR="00077DA0" w:rsidRPr="008E4321" w14:paraId="37E3D7D5" w14:textId="77777777" w:rsidTr="00077DA0">
        <w:trPr>
          <w:trHeight w:val="288"/>
        </w:trPr>
        <w:tc>
          <w:tcPr>
            <w:tcW w:w="1952" w:type="dxa"/>
            <w:tcBorders>
              <w:top w:val="single" w:sz="8" w:space="0" w:color="000000"/>
              <w:left w:val="nil"/>
              <w:bottom w:val="single" w:sz="8" w:space="0" w:color="000000"/>
              <w:right w:val="nil"/>
            </w:tcBorders>
            <w:noWrap/>
            <w:tcMar>
              <w:top w:w="0" w:type="dxa"/>
              <w:left w:w="108" w:type="dxa"/>
              <w:bottom w:w="0" w:type="dxa"/>
              <w:right w:w="108" w:type="dxa"/>
            </w:tcMar>
            <w:vAlign w:val="bottom"/>
            <w:hideMark/>
          </w:tcPr>
          <w:p w14:paraId="5E448A6B" w14:textId="77777777" w:rsidR="00077DA0" w:rsidRPr="008E4321" w:rsidRDefault="00077DA0" w:rsidP="00077DA0">
            <w:pPr>
              <w:pStyle w:val="PlainText"/>
              <w:rPr>
                <w:rFonts w:ascii="Arial" w:hAnsi="Arial" w:cs="Arial"/>
                <w:sz w:val="20"/>
                <w:szCs w:val="20"/>
              </w:rPr>
            </w:pPr>
            <w:r w:rsidRPr="008E4321">
              <w:rPr>
                <w:rFonts w:ascii="Arial" w:hAnsi="Arial" w:cs="Arial"/>
                <w:sz w:val="20"/>
                <w:szCs w:val="20"/>
              </w:rPr>
              <w:t>FIRE PRIMARY</w:t>
            </w:r>
          </w:p>
        </w:tc>
        <w:tc>
          <w:tcPr>
            <w:tcW w:w="1318" w:type="dxa"/>
            <w:tcBorders>
              <w:top w:val="single" w:sz="8" w:space="0" w:color="000000"/>
              <w:left w:val="nil"/>
              <w:bottom w:val="single" w:sz="8" w:space="0" w:color="000000"/>
              <w:right w:val="nil"/>
            </w:tcBorders>
            <w:noWrap/>
            <w:tcMar>
              <w:top w:w="0" w:type="dxa"/>
              <w:left w:w="108" w:type="dxa"/>
              <w:bottom w:w="0" w:type="dxa"/>
              <w:right w:w="108" w:type="dxa"/>
            </w:tcMar>
            <w:vAlign w:val="bottom"/>
            <w:hideMark/>
          </w:tcPr>
          <w:p w14:paraId="067F0F5B" w14:textId="77777777" w:rsidR="00077DA0" w:rsidRPr="008E4321" w:rsidRDefault="00077DA0" w:rsidP="00077DA0">
            <w:pPr>
              <w:pStyle w:val="PlainText"/>
              <w:rPr>
                <w:rFonts w:ascii="Arial" w:hAnsi="Arial" w:cs="Arial"/>
                <w:sz w:val="20"/>
                <w:szCs w:val="20"/>
              </w:rPr>
            </w:pPr>
            <w:r w:rsidRPr="008E4321">
              <w:rPr>
                <w:rFonts w:ascii="Arial" w:hAnsi="Arial" w:cs="Arial"/>
                <w:sz w:val="20"/>
                <w:szCs w:val="20"/>
              </w:rPr>
              <w:t>19/06/2024</w:t>
            </w:r>
          </w:p>
        </w:tc>
        <w:tc>
          <w:tcPr>
            <w:tcW w:w="2117" w:type="dxa"/>
            <w:tcBorders>
              <w:top w:val="single" w:sz="8" w:space="0" w:color="000000"/>
              <w:left w:val="nil"/>
              <w:bottom w:val="single" w:sz="8" w:space="0" w:color="000000"/>
              <w:right w:val="nil"/>
            </w:tcBorders>
            <w:noWrap/>
            <w:tcMar>
              <w:top w:w="0" w:type="dxa"/>
              <w:left w:w="108" w:type="dxa"/>
              <w:bottom w:w="0" w:type="dxa"/>
              <w:right w:w="108" w:type="dxa"/>
            </w:tcMar>
            <w:vAlign w:val="bottom"/>
            <w:hideMark/>
          </w:tcPr>
          <w:p w14:paraId="537CB96D" w14:textId="77777777" w:rsidR="00077DA0" w:rsidRPr="008E4321" w:rsidRDefault="00077DA0" w:rsidP="00077DA0">
            <w:pPr>
              <w:pStyle w:val="PlainText"/>
              <w:rPr>
                <w:rFonts w:ascii="Arial" w:hAnsi="Arial" w:cs="Arial"/>
                <w:sz w:val="20"/>
                <w:szCs w:val="20"/>
              </w:rPr>
            </w:pPr>
            <w:r w:rsidRPr="008E4321">
              <w:rPr>
                <w:rFonts w:ascii="Arial" w:hAnsi="Arial" w:cs="Arial"/>
                <w:sz w:val="20"/>
                <w:szCs w:val="20"/>
              </w:rPr>
              <w:t>Dwelling</w:t>
            </w:r>
          </w:p>
        </w:tc>
        <w:tc>
          <w:tcPr>
            <w:tcW w:w="2977" w:type="dxa"/>
            <w:tcBorders>
              <w:top w:val="single" w:sz="8" w:space="0" w:color="000000"/>
              <w:left w:val="nil"/>
              <w:bottom w:val="single" w:sz="8" w:space="0" w:color="000000"/>
              <w:right w:val="nil"/>
            </w:tcBorders>
            <w:noWrap/>
            <w:tcMar>
              <w:top w:w="0" w:type="dxa"/>
              <w:left w:w="108" w:type="dxa"/>
              <w:bottom w:w="0" w:type="dxa"/>
              <w:right w:w="108" w:type="dxa"/>
            </w:tcMar>
            <w:vAlign w:val="bottom"/>
            <w:hideMark/>
          </w:tcPr>
          <w:p w14:paraId="72E25A3E" w14:textId="77777777" w:rsidR="00077DA0" w:rsidRPr="008E4321" w:rsidRDefault="00077DA0" w:rsidP="00077DA0">
            <w:pPr>
              <w:pStyle w:val="PlainText"/>
              <w:rPr>
                <w:rFonts w:ascii="Arial" w:hAnsi="Arial" w:cs="Arial"/>
                <w:sz w:val="20"/>
                <w:szCs w:val="20"/>
              </w:rPr>
            </w:pPr>
            <w:r w:rsidRPr="008E4321">
              <w:rPr>
                <w:rFonts w:ascii="Arial" w:hAnsi="Arial" w:cs="Arial"/>
                <w:sz w:val="20"/>
                <w:szCs w:val="20"/>
              </w:rPr>
              <w:t>Heat source and combustibles brought together deliberately</w:t>
            </w:r>
          </w:p>
        </w:tc>
        <w:tc>
          <w:tcPr>
            <w:tcW w:w="857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bottom"/>
            <w:hideMark/>
          </w:tcPr>
          <w:p w14:paraId="70ACFFF2" w14:textId="77777777" w:rsidR="00077DA0" w:rsidRPr="008E4321" w:rsidRDefault="00077DA0" w:rsidP="00077DA0">
            <w:pPr>
              <w:pStyle w:val="PlainText"/>
              <w:rPr>
                <w:rFonts w:ascii="Arial" w:hAnsi="Arial" w:cs="Arial"/>
                <w:sz w:val="20"/>
                <w:szCs w:val="20"/>
              </w:rPr>
            </w:pPr>
            <w:r w:rsidRPr="008E4321">
              <w:rPr>
                <w:rFonts w:ascii="Arial" w:hAnsi="Arial" w:cs="Arial"/>
                <w:sz w:val="20"/>
                <w:szCs w:val="20"/>
              </w:rPr>
              <w:t>Rubbish/Waste Material</w:t>
            </w:r>
          </w:p>
        </w:tc>
      </w:tr>
    </w:tbl>
    <w:p w14:paraId="46BCFB31" w14:textId="77777777" w:rsidR="008E4321" w:rsidRPr="008E4321" w:rsidRDefault="008E4321" w:rsidP="008E4321">
      <w:pPr>
        <w:pStyle w:val="PlainText"/>
        <w:rPr>
          <w:rFonts w:ascii="Arial" w:hAnsi="Arial" w:cs="Arial"/>
          <w:sz w:val="14"/>
          <w:szCs w:val="14"/>
        </w:rPr>
      </w:pPr>
      <w:r w:rsidRPr="008E4321">
        <w:rPr>
          <w:rFonts w:ascii="Arial" w:hAnsi="Arial" w:cs="Arial"/>
          <w:sz w:val="14"/>
          <w:szCs w:val="14"/>
        </w:rPr>
        <w:t xml:space="preserve">  </w:t>
      </w:r>
    </w:p>
    <w:p w14:paraId="2242A91B" w14:textId="3F4B6A17" w:rsidR="005F50CE" w:rsidRDefault="005F50CE" w:rsidP="001054D7">
      <w:pPr>
        <w:pStyle w:val="PlainText"/>
        <w:rPr>
          <w:rFonts w:ascii="Arial" w:hAnsi="Arial" w:cs="Arial"/>
        </w:rPr>
      </w:pP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000000" w:rsidP="007231D8">
      <w:pPr>
        <w:rPr>
          <w:rFonts w:ascii="Arial" w:hAnsi="Arial" w:cs="Arial"/>
        </w:rPr>
      </w:pPr>
      <w:hyperlink r:id="rId8"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3"/>
  </w:num>
  <w:num w:numId="2" w16cid:durableId="954605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29"/>
  </w:num>
  <w:num w:numId="5" w16cid:durableId="1480224749">
    <w:abstractNumId w:val="20"/>
  </w:num>
  <w:num w:numId="6" w16cid:durableId="1461726425">
    <w:abstractNumId w:val="18"/>
  </w:num>
  <w:num w:numId="7" w16cid:durableId="745953970">
    <w:abstractNumId w:val="9"/>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1"/>
  </w:num>
  <w:num w:numId="11" w16cid:durableId="609288569">
    <w:abstractNumId w:val="19"/>
  </w:num>
  <w:num w:numId="12" w16cid:durableId="943801818">
    <w:abstractNumId w:val="14"/>
  </w:num>
  <w:num w:numId="13" w16cid:durableId="1883859672">
    <w:abstractNumId w:val="2"/>
  </w:num>
  <w:num w:numId="14" w16cid:durableId="475685152">
    <w:abstractNumId w:val="1"/>
  </w:num>
  <w:num w:numId="15" w16cid:durableId="680468818">
    <w:abstractNumId w:val="25"/>
  </w:num>
  <w:num w:numId="16" w16cid:durableId="1963607697">
    <w:abstractNumId w:val="26"/>
  </w:num>
  <w:num w:numId="17" w16cid:durableId="1582326319">
    <w:abstractNumId w:val="24"/>
  </w:num>
  <w:num w:numId="18" w16cid:durableId="9835077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2"/>
  </w:num>
  <w:num w:numId="21" w16cid:durableId="1838033369">
    <w:abstractNumId w:val="28"/>
  </w:num>
  <w:num w:numId="22" w16cid:durableId="940182111">
    <w:abstractNumId w:val="0"/>
  </w:num>
  <w:num w:numId="23" w16cid:durableId="2093770873">
    <w:abstractNumId w:val="13"/>
  </w:num>
  <w:num w:numId="24" w16cid:durableId="1458447915">
    <w:abstractNumId w:val="17"/>
  </w:num>
  <w:num w:numId="25" w16cid:durableId="1387070763">
    <w:abstractNumId w:val="3"/>
  </w:num>
  <w:num w:numId="26" w16cid:durableId="1929345119">
    <w:abstractNumId w:val="6"/>
  </w:num>
  <w:num w:numId="27" w16cid:durableId="790780760">
    <w:abstractNumId w:val="22"/>
  </w:num>
  <w:num w:numId="28" w16cid:durableId="1607808765">
    <w:abstractNumId w:val="10"/>
  </w:num>
  <w:num w:numId="29" w16cid:durableId="1778014998">
    <w:abstractNumId w:val="4"/>
  </w:num>
  <w:num w:numId="30" w16cid:durableId="1443845763">
    <w:abstractNumId w:val="8"/>
  </w:num>
  <w:num w:numId="31" w16cid:durableId="17014722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77DA0"/>
    <w:rsid w:val="000E0CEE"/>
    <w:rsid w:val="000E3F7D"/>
    <w:rsid w:val="000F05DB"/>
    <w:rsid w:val="000F4C29"/>
    <w:rsid w:val="00103D6B"/>
    <w:rsid w:val="001054D7"/>
    <w:rsid w:val="00172CAC"/>
    <w:rsid w:val="001C0324"/>
    <w:rsid w:val="001E328C"/>
    <w:rsid w:val="00244B24"/>
    <w:rsid w:val="0025203F"/>
    <w:rsid w:val="002A335C"/>
    <w:rsid w:val="002E3103"/>
    <w:rsid w:val="002E5597"/>
    <w:rsid w:val="003327A7"/>
    <w:rsid w:val="0037141D"/>
    <w:rsid w:val="003C6BC7"/>
    <w:rsid w:val="003E4E8C"/>
    <w:rsid w:val="003F69CC"/>
    <w:rsid w:val="0044305B"/>
    <w:rsid w:val="0045374B"/>
    <w:rsid w:val="00461AD7"/>
    <w:rsid w:val="004646C4"/>
    <w:rsid w:val="00473E5D"/>
    <w:rsid w:val="00485E56"/>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651FF"/>
    <w:rsid w:val="0066731F"/>
    <w:rsid w:val="0069247C"/>
    <w:rsid w:val="006B0106"/>
    <w:rsid w:val="006F38F6"/>
    <w:rsid w:val="006F634E"/>
    <w:rsid w:val="007231D8"/>
    <w:rsid w:val="007528A0"/>
    <w:rsid w:val="0076325A"/>
    <w:rsid w:val="007745A6"/>
    <w:rsid w:val="00791CA9"/>
    <w:rsid w:val="00792A7C"/>
    <w:rsid w:val="007B4810"/>
    <w:rsid w:val="007D2EBD"/>
    <w:rsid w:val="007F1636"/>
    <w:rsid w:val="007F5F58"/>
    <w:rsid w:val="0080180F"/>
    <w:rsid w:val="008500C9"/>
    <w:rsid w:val="0085244C"/>
    <w:rsid w:val="008B665E"/>
    <w:rsid w:val="008D0CE1"/>
    <w:rsid w:val="008D51F1"/>
    <w:rsid w:val="008E4321"/>
    <w:rsid w:val="0091032B"/>
    <w:rsid w:val="00913EFB"/>
    <w:rsid w:val="009226A7"/>
    <w:rsid w:val="009232AD"/>
    <w:rsid w:val="009265E9"/>
    <w:rsid w:val="009412CC"/>
    <w:rsid w:val="00945956"/>
    <w:rsid w:val="009D71BC"/>
    <w:rsid w:val="009E333C"/>
    <w:rsid w:val="009E739C"/>
    <w:rsid w:val="00A118AC"/>
    <w:rsid w:val="00A36A44"/>
    <w:rsid w:val="00A53282"/>
    <w:rsid w:val="00A55F53"/>
    <w:rsid w:val="00AA3E0A"/>
    <w:rsid w:val="00B6459A"/>
    <w:rsid w:val="00B72246"/>
    <w:rsid w:val="00B75C97"/>
    <w:rsid w:val="00B81F75"/>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B4CA7"/>
    <w:rsid w:val="00F05A8C"/>
    <w:rsid w:val="00F07CFB"/>
    <w:rsid w:val="00F30FB5"/>
    <w:rsid w:val="00F46729"/>
    <w:rsid w:val="00F506EF"/>
    <w:rsid w:val="00F81812"/>
    <w:rsid w:val="00F90913"/>
    <w:rsid w:val="00F964A5"/>
    <w:rsid w:val="00FC2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7</cp:revision>
  <dcterms:created xsi:type="dcterms:W3CDTF">2024-08-23T12:25:00Z</dcterms:created>
  <dcterms:modified xsi:type="dcterms:W3CDTF">2024-08-23T12:32:00Z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