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5DC2B2A9"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B97B36">
        <w:rPr>
          <w:rFonts w:ascii="Arial" w:hAnsi="Arial" w:cs="Arial"/>
          <w:b/>
          <w:bCs/>
        </w:rPr>
        <w:t>6</w:t>
      </w:r>
      <w:r w:rsidR="00646D0F">
        <w:rPr>
          <w:rFonts w:ascii="Arial" w:hAnsi="Arial" w:cs="Arial"/>
          <w:b/>
          <w:bCs/>
        </w:rPr>
        <w:t>3</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646D0F">
        <w:rPr>
          <w:rFonts w:ascii="Arial" w:hAnsi="Arial" w:cs="Arial"/>
          <w:b/>
          <w:bCs/>
        </w:rPr>
        <w:t>MDT Solution</w:t>
      </w:r>
      <w:r w:rsidR="002C0598">
        <w:rPr>
          <w:rFonts w:ascii="Arial" w:hAnsi="Arial" w:cs="Arial"/>
          <w:b/>
          <w:bCs/>
        </w:rPr>
        <w:t xml:space="preserve">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0A27A4CE"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 Supplier and Contract Information:</w:t>
      </w:r>
    </w:p>
    <w:p w14:paraId="2DEA3227"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name of the current supplier for your MDT software (e.g., Airbus, 3tc, or others).</w:t>
      </w:r>
    </w:p>
    <w:p w14:paraId="0C92C84E"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start and end dates of the contract.</w:t>
      </w:r>
    </w:p>
    <w:p w14:paraId="761B0C68"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total value of the contract, as well as the number of licenses currently in use.</w:t>
      </w:r>
    </w:p>
    <w:p w14:paraId="06B7FB34"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annual contract value, if available.</w:t>
      </w:r>
    </w:p>
    <w:p w14:paraId="5B2CB276"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If the solution was sourced through another organization (e.g., the council or a consortium), please provide details of that organization.</w:t>
      </w:r>
    </w:p>
    <w:p w14:paraId="5CC73806"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Contractual and Procurement Details:</w:t>
      </w:r>
    </w:p>
    <w:p w14:paraId="61BD323E"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A copy of the original technical specification and tender documents used in the procurement of the MDT solution.</w:t>
      </w:r>
    </w:p>
    <w:p w14:paraId="323D5C3A"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names of any suppliers who bid for the contract, along with how they scored across each evaluation domain (e.g., quality, cost, and overall score).</w:t>
      </w:r>
    </w:p>
    <w:p w14:paraId="7707DF87"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A summary of the procurement process used, including the weighting of different evaluation criteria.</w:t>
      </w:r>
    </w:p>
    <w:p w14:paraId="041742AC"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Contact Information:</w:t>
      </w:r>
    </w:p>
    <w:p w14:paraId="0B656115"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name, email address, and phone number of the system owner or key contact responsible for the MDT software within your service.</w:t>
      </w:r>
    </w:p>
    <w:p w14:paraId="4B4A16A1"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department in which the system owner is based.</w:t>
      </w:r>
    </w:p>
    <w:p w14:paraId="7452FA93"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Fleet and Deployment Information:</w:t>
      </w:r>
    </w:p>
    <w:p w14:paraId="2E63BC4F"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The total number of operational vehicles equipped with MDTs, and the types of vehicles (e.g., fire appliances, command vehicles, etc.).</w:t>
      </w:r>
    </w:p>
    <w:p w14:paraId="433BF38C"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Related Technology Systems:</w:t>
      </w:r>
    </w:p>
    <w:p w14:paraId="6DFB1B52"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Please provide details of any additional technology systems integrated with or complementing your MDTs, such as:</w:t>
      </w:r>
    </w:p>
    <w:p w14:paraId="55541458" w14:textId="77777777" w:rsidR="00DC418B" w:rsidRPr="00DC418B" w:rsidRDefault="00DC418B" w:rsidP="00DC418B">
      <w:pPr>
        <w:numPr>
          <w:ilvl w:val="2"/>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Incident management systems</w:t>
      </w:r>
    </w:p>
    <w:p w14:paraId="159D620B" w14:textId="77777777" w:rsidR="00DC418B" w:rsidRPr="00DC418B" w:rsidRDefault="00DC418B" w:rsidP="00DC418B">
      <w:pPr>
        <w:numPr>
          <w:ilvl w:val="2"/>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Mobile communications platforms</w:t>
      </w:r>
    </w:p>
    <w:p w14:paraId="51C6ECF4" w14:textId="77777777" w:rsidR="00DC418B" w:rsidRPr="00DC418B" w:rsidRDefault="00DC418B" w:rsidP="00DC418B">
      <w:pPr>
        <w:numPr>
          <w:ilvl w:val="2"/>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Vehicle tracking or telematics systems</w:t>
      </w:r>
    </w:p>
    <w:p w14:paraId="577D25E1" w14:textId="77777777" w:rsidR="00DC418B" w:rsidRPr="00DC418B" w:rsidRDefault="00DC418B" w:rsidP="00DC418B">
      <w:pPr>
        <w:numPr>
          <w:ilvl w:val="2"/>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Command and control systems</w:t>
      </w:r>
    </w:p>
    <w:p w14:paraId="77230F63" w14:textId="77777777" w:rsidR="00DC418B" w:rsidRPr="00DC418B" w:rsidRDefault="00DC418B" w:rsidP="00DC418B">
      <w:pPr>
        <w:numPr>
          <w:ilvl w:val="2"/>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lastRenderedPageBreak/>
        <w:t>Mapping and Geographic Information Systems (GIS)</w:t>
      </w:r>
    </w:p>
    <w:p w14:paraId="17124353"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For each system, please provide the supplier name, contract start and end dates, contract value, and renewal date.</w:t>
      </w:r>
    </w:p>
    <w:p w14:paraId="32AD9275" w14:textId="77777777" w:rsidR="00DC418B" w:rsidRPr="00DC418B" w:rsidRDefault="00DC418B" w:rsidP="00DC418B">
      <w:pPr>
        <w:numPr>
          <w:ilvl w:val="0"/>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Collaborative or Shared Procurement:</w:t>
      </w:r>
    </w:p>
    <w:p w14:paraId="47D85B09" w14:textId="77777777" w:rsidR="00DC418B" w:rsidRPr="00DC418B" w:rsidRDefault="00DC418B" w:rsidP="00DC418B">
      <w:pPr>
        <w:numPr>
          <w:ilvl w:val="1"/>
          <w:numId w:val="36"/>
        </w:numPr>
        <w:rPr>
          <w:rFonts w:ascii="Arial" w:eastAsia="Times New Roman" w:hAnsi="Arial" w:cs="Arial"/>
          <w:color w:val="000000"/>
          <w:sz w:val="24"/>
          <w:szCs w:val="24"/>
          <w:lang w:eastAsia="en-GB"/>
        </w:rPr>
      </w:pPr>
      <w:r w:rsidRPr="00DC418B">
        <w:rPr>
          <w:rFonts w:ascii="Arial" w:eastAsia="Times New Roman" w:hAnsi="Arial" w:cs="Arial"/>
          <w:color w:val="000000"/>
          <w:sz w:val="24"/>
          <w:szCs w:val="24"/>
          <w:lang w:eastAsia="en-GB"/>
        </w:rPr>
        <w:t>If your service participates in any shared or collaborative purchasing frameworks for technology (e.g., with other authorities or consortia), please provide details of these frameworks or partnerships, and the contracts awarded through them.</w:t>
      </w:r>
    </w:p>
    <w:p w14:paraId="50CEEE66" w14:textId="0EC44A42" w:rsidR="0045374B" w:rsidRPr="0045374B" w:rsidRDefault="007231D8" w:rsidP="007231D8">
      <w:pPr>
        <w:rPr>
          <w:rFonts w:ascii="Arial" w:hAnsi="Arial" w:cs="Arial"/>
          <w:b/>
          <w:bCs/>
        </w:rPr>
      </w:pPr>
      <w:r w:rsidRPr="003327A7">
        <w:rPr>
          <w:rFonts w:ascii="Arial" w:hAnsi="Arial" w:cs="Arial"/>
          <w:b/>
          <w:bCs/>
        </w:rPr>
        <w:t>The response is:</w:t>
      </w:r>
    </w:p>
    <w:p w14:paraId="1756933A"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 xml:space="preserve">Supplier and Contract Information can be found on our contracts register </w:t>
      </w:r>
      <w:hyperlink r:id="rId8" w:history="1">
        <w:r w:rsidRPr="00E37D53">
          <w:rPr>
            <w:rStyle w:val="Hyperlink"/>
            <w:rFonts w:ascii="Arial" w:hAnsi="Arial" w:cs="Arial"/>
          </w:rPr>
          <w:t>here.</w:t>
        </w:r>
      </w:hyperlink>
      <w:r w:rsidRPr="00E37D53">
        <w:rPr>
          <w:rFonts w:ascii="Arial" w:hAnsi="Arial" w:cs="Arial"/>
        </w:rPr>
        <w:t xml:space="preserve">  Information which is accessible by other means is exempt under Section 21 of the Freedom of Information Act 2000. Please see below for further details relating to Section 21.</w:t>
      </w:r>
    </w:p>
    <w:p w14:paraId="6F5AE59E" w14:textId="77777777" w:rsidR="00E37D53" w:rsidRPr="00E37D53" w:rsidRDefault="00E37D53" w:rsidP="00E37D53">
      <w:pPr>
        <w:pStyle w:val="PlainText"/>
        <w:rPr>
          <w:rFonts w:ascii="Arial" w:hAnsi="Arial" w:cs="Arial"/>
        </w:rPr>
      </w:pPr>
      <w:r w:rsidRPr="00E37D53">
        <w:rPr>
          <w:rFonts w:ascii="Arial" w:hAnsi="Arial" w:cs="Arial"/>
        </w:rPr>
        <w:t xml:space="preserve">The solution was not sourced through another organisation. </w:t>
      </w:r>
    </w:p>
    <w:p w14:paraId="0D27DE87" w14:textId="77777777" w:rsidR="00E37D53" w:rsidRPr="00E37D53" w:rsidRDefault="00E37D53" w:rsidP="00E37D53">
      <w:pPr>
        <w:pStyle w:val="PlainText"/>
        <w:rPr>
          <w:rFonts w:ascii="Arial" w:hAnsi="Arial" w:cs="Arial"/>
        </w:rPr>
      </w:pPr>
    </w:p>
    <w:p w14:paraId="4D90ABE5"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 xml:space="preserve">This information is not held as a tender process has not been undertaken. The current contract was a Direct Award and information relating to the contract can be found </w:t>
      </w:r>
      <w:hyperlink r:id="rId9" w:history="1">
        <w:r w:rsidRPr="00E37D53">
          <w:rPr>
            <w:rStyle w:val="Hyperlink"/>
            <w:rFonts w:ascii="Arial" w:hAnsi="Arial" w:cs="Arial"/>
          </w:rPr>
          <w:t>here</w:t>
        </w:r>
      </w:hyperlink>
      <w:r w:rsidRPr="00E37D53">
        <w:rPr>
          <w:rFonts w:ascii="Arial" w:hAnsi="Arial" w:cs="Arial"/>
        </w:rPr>
        <w:t xml:space="preserve">. </w:t>
      </w:r>
    </w:p>
    <w:p w14:paraId="421F5BA4" w14:textId="77777777" w:rsidR="00E37D53" w:rsidRPr="00E37D53" w:rsidRDefault="00E37D53" w:rsidP="00E37D53">
      <w:pPr>
        <w:pStyle w:val="PlainText"/>
        <w:rPr>
          <w:rFonts w:ascii="Arial" w:hAnsi="Arial" w:cs="Arial"/>
        </w:rPr>
      </w:pPr>
      <w:r w:rsidRPr="00E37D53">
        <w:rPr>
          <w:rFonts w:ascii="Arial" w:hAnsi="Arial" w:cs="Arial"/>
        </w:rPr>
        <w:t>This contract is currently being renewed annually as we go through the next tender exercise for this. </w:t>
      </w:r>
    </w:p>
    <w:p w14:paraId="480B6830" w14:textId="77777777" w:rsidR="00E37D53" w:rsidRPr="00E37D53" w:rsidRDefault="00E37D53" w:rsidP="00E37D53">
      <w:pPr>
        <w:pStyle w:val="PlainText"/>
        <w:rPr>
          <w:rFonts w:ascii="Arial" w:hAnsi="Arial" w:cs="Arial"/>
        </w:rPr>
      </w:pPr>
    </w:p>
    <w:p w14:paraId="78A8C975"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 xml:space="preserve">The key contact responsible for the MDT software within our Service is the Head of Digital Services. Contact information can be found on our website </w:t>
      </w:r>
      <w:hyperlink r:id="rId10" w:history="1">
        <w:r w:rsidRPr="00E37D53">
          <w:rPr>
            <w:rStyle w:val="Hyperlink"/>
            <w:rFonts w:ascii="Arial" w:hAnsi="Arial" w:cs="Arial"/>
          </w:rPr>
          <w:t xml:space="preserve">here. </w:t>
        </w:r>
      </w:hyperlink>
    </w:p>
    <w:p w14:paraId="7E458D67" w14:textId="77777777" w:rsidR="00E37D53" w:rsidRPr="00E37D53" w:rsidRDefault="00E37D53" w:rsidP="00E37D53">
      <w:pPr>
        <w:pStyle w:val="PlainText"/>
        <w:rPr>
          <w:rFonts w:ascii="Arial" w:hAnsi="Arial" w:cs="Arial"/>
        </w:rPr>
      </w:pPr>
    </w:p>
    <w:p w14:paraId="4D4EAB04"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60 vehicles are equipped with MDT’s including Fire Appliances, Incident Command Units, and TRV’s.</w:t>
      </w:r>
    </w:p>
    <w:p w14:paraId="5E03A95E" w14:textId="77777777" w:rsidR="00E37D53" w:rsidRPr="00E37D53" w:rsidRDefault="00E37D53" w:rsidP="00E37D53">
      <w:pPr>
        <w:pStyle w:val="PlainText"/>
        <w:rPr>
          <w:rFonts w:ascii="Arial" w:hAnsi="Arial" w:cs="Arial"/>
        </w:rPr>
      </w:pPr>
    </w:p>
    <w:p w14:paraId="4D857116"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 xml:space="preserve">This information can all be found on our contracts register </w:t>
      </w:r>
      <w:hyperlink r:id="rId11" w:history="1">
        <w:r w:rsidRPr="00E37D53">
          <w:rPr>
            <w:rStyle w:val="Hyperlink"/>
            <w:rFonts w:ascii="Arial" w:hAnsi="Arial" w:cs="Arial"/>
          </w:rPr>
          <w:t>here.</w:t>
        </w:r>
      </w:hyperlink>
      <w:r w:rsidRPr="00E37D53">
        <w:rPr>
          <w:rFonts w:ascii="Arial" w:hAnsi="Arial" w:cs="Arial"/>
        </w:rPr>
        <w:t xml:space="preserve"> Information which is accessible by other means is exempt under Section 21 of the Freedom of Information Act 2000. Please see below for further details relating to Section 21.</w:t>
      </w:r>
    </w:p>
    <w:p w14:paraId="13502F16" w14:textId="77777777" w:rsidR="00E37D53" w:rsidRPr="00E37D53" w:rsidRDefault="00E37D53" w:rsidP="00E37D53">
      <w:pPr>
        <w:pStyle w:val="PlainText"/>
        <w:rPr>
          <w:rFonts w:ascii="Arial" w:hAnsi="Arial" w:cs="Arial"/>
        </w:rPr>
      </w:pPr>
    </w:p>
    <w:p w14:paraId="062B2D85" w14:textId="77777777" w:rsidR="00E37D53" w:rsidRPr="00E37D53" w:rsidRDefault="00E37D53" w:rsidP="00E37D53">
      <w:pPr>
        <w:pStyle w:val="PlainText"/>
        <w:numPr>
          <w:ilvl w:val="0"/>
          <w:numId w:val="37"/>
        </w:numPr>
        <w:rPr>
          <w:rFonts w:ascii="Arial" w:hAnsi="Arial" w:cs="Arial"/>
        </w:rPr>
      </w:pPr>
      <w:r w:rsidRPr="00E37D53">
        <w:rPr>
          <w:rFonts w:ascii="Arial" w:hAnsi="Arial" w:cs="Arial"/>
        </w:rPr>
        <w:t>Not applicable.</w:t>
      </w:r>
    </w:p>
    <w:p w14:paraId="417E0894" w14:textId="77777777" w:rsidR="00E37D53" w:rsidRPr="00E37D53" w:rsidRDefault="00E37D53" w:rsidP="00E37D53">
      <w:pPr>
        <w:pStyle w:val="PlainText"/>
        <w:rPr>
          <w:rFonts w:ascii="Arial" w:hAnsi="Arial" w:cs="Arial"/>
        </w:rPr>
      </w:pPr>
    </w:p>
    <w:p w14:paraId="1B1BF7A0" w14:textId="77777777" w:rsidR="00E37D53" w:rsidRPr="00E37D53" w:rsidRDefault="00E37D53" w:rsidP="00E37D53">
      <w:pPr>
        <w:pStyle w:val="PlainText"/>
        <w:rPr>
          <w:rFonts w:ascii="Arial" w:hAnsi="Arial" w:cs="Arial"/>
        </w:rPr>
      </w:pPr>
      <w:r w:rsidRPr="00E37D53">
        <w:rPr>
          <w:rFonts w:ascii="Arial" w:hAnsi="Arial" w:cs="Arial"/>
        </w:rPr>
        <w:t> </w:t>
      </w:r>
    </w:p>
    <w:p w14:paraId="1AF77125" w14:textId="77777777" w:rsidR="00E37D53" w:rsidRPr="00E37D53" w:rsidRDefault="00E37D53" w:rsidP="00E37D53">
      <w:pPr>
        <w:pStyle w:val="PlainText"/>
        <w:rPr>
          <w:rFonts w:ascii="Arial" w:hAnsi="Arial" w:cs="Arial"/>
        </w:rPr>
      </w:pPr>
      <w:r w:rsidRPr="00E37D53">
        <w:rPr>
          <w:rFonts w:ascii="Arial" w:hAnsi="Arial" w:cs="Arial"/>
        </w:rPr>
        <w:t> </w:t>
      </w:r>
      <w:r w:rsidRPr="00E37D53">
        <w:rPr>
          <w:rFonts w:ascii="Arial" w:hAnsi="Arial" w:cs="Arial"/>
          <w:b/>
          <w:bCs/>
        </w:rPr>
        <w:t>Section 21</w:t>
      </w:r>
    </w:p>
    <w:p w14:paraId="21BC5EE0" w14:textId="77777777" w:rsidR="00E37D53" w:rsidRPr="00E37D53" w:rsidRDefault="00E37D53" w:rsidP="00E37D53">
      <w:pPr>
        <w:pStyle w:val="PlainText"/>
        <w:rPr>
          <w:rFonts w:ascii="Arial" w:hAnsi="Arial" w:cs="Arial"/>
        </w:rPr>
      </w:pPr>
      <w:r w:rsidRPr="00E37D53">
        <w:rPr>
          <w:rFonts w:ascii="Arial" w:hAnsi="Arial" w:cs="Arial"/>
        </w:rPr>
        <w:t> </w:t>
      </w:r>
    </w:p>
    <w:p w14:paraId="52908753" w14:textId="77777777" w:rsidR="00E37D53" w:rsidRPr="00E37D53" w:rsidRDefault="00E37D53" w:rsidP="00E37D53">
      <w:pPr>
        <w:pStyle w:val="PlainText"/>
        <w:rPr>
          <w:rFonts w:ascii="Arial" w:hAnsi="Arial" w:cs="Arial"/>
        </w:rPr>
      </w:pPr>
      <w:r w:rsidRPr="00E37D53">
        <w:rPr>
          <w:rFonts w:ascii="Arial" w:hAnsi="Arial" w:cs="Arial"/>
          <w:b/>
          <w:bCs/>
        </w:rPr>
        <w:t>21          Information accessible to applicant by other means.</w:t>
      </w:r>
    </w:p>
    <w:p w14:paraId="0DA44DBA" w14:textId="77777777" w:rsidR="00E37D53" w:rsidRPr="00E37D53" w:rsidRDefault="00E37D53" w:rsidP="00E37D53">
      <w:pPr>
        <w:pStyle w:val="PlainText"/>
        <w:rPr>
          <w:rFonts w:ascii="Arial" w:hAnsi="Arial" w:cs="Arial"/>
        </w:rPr>
      </w:pPr>
      <w:r w:rsidRPr="00E37D53">
        <w:rPr>
          <w:rFonts w:ascii="Arial" w:hAnsi="Arial" w:cs="Arial"/>
        </w:rPr>
        <w:t>(1) Information which is reasonably accessible to the applicant otherwise than under section 1 is exempt information.</w:t>
      </w:r>
    </w:p>
    <w:p w14:paraId="7346927D" w14:textId="77777777" w:rsidR="00E37D53" w:rsidRPr="00E37D53" w:rsidRDefault="00E37D53" w:rsidP="00E37D53">
      <w:pPr>
        <w:pStyle w:val="PlainText"/>
        <w:rPr>
          <w:rFonts w:ascii="Arial" w:hAnsi="Arial" w:cs="Arial"/>
        </w:rPr>
      </w:pPr>
      <w:r w:rsidRPr="00E37D53">
        <w:rPr>
          <w:rFonts w:ascii="Arial" w:hAnsi="Arial" w:cs="Arial"/>
        </w:rPr>
        <w:t>(2) For the purposes of subsection (1)—</w:t>
      </w:r>
    </w:p>
    <w:p w14:paraId="756EAEE8" w14:textId="77777777" w:rsidR="00E37D53" w:rsidRPr="00E37D53" w:rsidRDefault="00E37D53" w:rsidP="00E37D53">
      <w:pPr>
        <w:pStyle w:val="PlainText"/>
        <w:rPr>
          <w:rFonts w:ascii="Arial" w:hAnsi="Arial" w:cs="Arial"/>
        </w:rPr>
      </w:pPr>
      <w:r w:rsidRPr="00E37D53">
        <w:rPr>
          <w:rFonts w:ascii="Arial" w:hAnsi="Arial" w:cs="Arial"/>
        </w:rPr>
        <w:t>(a) information may be reasonably accessible to the applicant even though it is accessible only on payment, and</w:t>
      </w:r>
    </w:p>
    <w:p w14:paraId="183281C2" w14:textId="3238F0E5" w:rsidR="00446B73" w:rsidRPr="0012016B" w:rsidRDefault="00E37D53" w:rsidP="00E37D53">
      <w:pPr>
        <w:pStyle w:val="PlainText"/>
        <w:rPr>
          <w:rFonts w:ascii="Arial" w:hAnsi="Arial" w:cs="Arial"/>
        </w:rPr>
      </w:pPr>
      <w:r w:rsidRPr="00E37D53">
        <w:rPr>
          <w:rFonts w:ascii="Arial" w:hAnsi="Arial" w:cs="Arial"/>
        </w:rPr>
        <w:t>(b) information is to be taken to be reasonably accessible to the applicant if it is information which the public authority or any other person is obliged by or under any enactment</w:t>
      </w:r>
    </w:p>
    <w:p w14:paraId="23BFC48D" w14:textId="77777777" w:rsidR="007F1636" w:rsidRPr="003327A7" w:rsidRDefault="007F1636" w:rsidP="001054D7">
      <w:pPr>
        <w:pStyle w:val="PlainText"/>
        <w:rPr>
          <w:rFonts w:ascii="Arial" w:hAnsi="Arial" w:cs="Arial"/>
        </w:rPr>
      </w:pPr>
    </w:p>
    <w:p w14:paraId="23E9E8FC" w14:textId="79AA9808" w:rsidR="001E328C" w:rsidRPr="003327A7" w:rsidRDefault="001E328C" w:rsidP="001E328C">
      <w:pPr>
        <w:rPr>
          <w:rFonts w:ascii="Arial" w:hAnsi="Arial" w:cs="Arial"/>
        </w:rPr>
      </w:pPr>
      <w:r w:rsidRPr="003327A7">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The address is: Information Commissioner’s Office, Wycliffe House, Water Lane, Wilmslow, Cheshire SK9 5AF.</w:t>
      </w:r>
    </w:p>
    <w:p w14:paraId="542A3D35" w14:textId="13A67BD7" w:rsidR="003F69CC" w:rsidRPr="003327A7" w:rsidRDefault="001E328C" w:rsidP="007231D8">
      <w:pPr>
        <w:rPr>
          <w:rFonts w:ascii="Arial" w:hAnsi="Arial" w:cs="Arial"/>
        </w:rPr>
      </w:pPr>
      <w:hyperlink r:id="rId12" w:anchor="_blank" w:history="1">
        <w:r w:rsidRPr="003327A7">
          <w:rPr>
            <w:rStyle w:val="Hyperlink"/>
            <w:rFonts w:ascii="Arial" w:hAnsi="Arial" w:cs="Arial"/>
          </w:rPr>
          <w:t>https://ico.org.uk/</w:t>
        </w:r>
      </w:hyperlink>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6"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9"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29"/>
  </w:num>
  <w:num w:numId="2" w16cid:durableId="95460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5"/>
  </w:num>
  <w:num w:numId="5" w16cid:durableId="1480224749">
    <w:abstractNumId w:val="23"/>
  </w:num>
  <w:num w:numId="6" w16cid:durableId="1461726425">
    <w:abstractNumId w:val="21"/>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4"/>
  </w:num>
  <w:num w:numId="11" w16cid:durableId="609288569">
    <w:abstractNumId w:val="22"/>
  </w:num>
  <w:num w:numId="12" w16cid:durableId="943801818">
    <w:abstractNumId w:val="15"/>
  </w:num>
  <w:num w:numId="13" w16cid:durableId="1883859672">
    <w:abstractNumId w:val="2"/>
  </w:num>
  <w:num w:numId="14" w16cid:durableId="475685152">
    <w:abstractNumId w:val="1"/>
  </w:num>
  <w:num w:numId="15" w16cid:durableId="680468818">
    <w:abstractNumId w:val="31"/>
  </w:num>
  <w:num w:numId="16" w16cid:durableId="1963607697">
    <w:abstractNumId w:val="32"/>
  </w:num>
  <w:num w:numId="17" w16cid:durableId="1582326319">
    <w:abstractNumId w:val="30"/>
  </w:num>
  <w:num w:numId="18" w16cid:durableId="983507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3"/>
  </w:num>
  <w:num w:numId="21" w16cid:durableId="1838033369">
    <w:abstractNumId w:val="34"/>
  </w:num>
  <w:num w:numId="22" w16cid:durableId="940182111">
    <w:abstractNumId w:val="0"/>
  </w:num>
  <w:num w:numId="23" w16cid:durableId="2093770873">
    <w:abstractNumId w:val="14"/>
  </w:num>
  <w:num w:numId="24" w16cid:durableId="1458447915">
    <w:abstractNumId w:val="20"/>
  </w:num>
  <w:num w:numId="25" w16cid:durableId="1387070763">
    <w:abstractNumId w:val="3"/>
  </w:num>
  <w:num w:numId="26" w16cid:durableId="1929345119">
    <w:abstractNumId w:val="6"/>
  </w:num>
  <w:num w:numId="27" w16cid:durableId="790780760">
    <w:abstractNumId w:val="27"/>
  </w:num>
  <w:num w:numId="28" w16cid:durableId="1607808765">
    <w:abstractNumId w:val="11"/>
  </w:num>
  <w:num w:numId="29" w16cid:durableId="1778014998">
    <w:abstractNumId w:val="4"/>
  </w:num>
  <w:num w:numId="30" w16cid:durableId="1443845763">
    <w:abstractNumId w:val="9"/>
  </w:num>
  <w:num w:numId="31" w16cid:durableId="1701472250">
    <w:abstractNumId w:val="18"/>
  </w:num>
  <w:num w:numId="32" w16cid:durableId="852038773">
    <w:abstractNumId w:val="1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6"/>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46DE"/>
    <w:rsid w:val="000746D6"/>
    <w:rsid w:val="00077DA0"/>
    <w:rsid w:val="00094D19"/>
    <w:rsid w:val="000C63CC"/>
    <w:rsid w:val="000E0CEE"/>
    <w:rsid w:val="000E3F7D"/>
    <w:rsid w:val="000F05DB"/>
    <w:rsid w:val="000F4C29"/>
    <w:rsid w:val="00103D6B"/>
    <w:rsid w:val="001054D7"/>
    <w:rsid w:val="0012016B"/>
    <w:rsid w:val="00172CAC"/>
    <w:rsid w:val="001C0324"/>
    <w:rsid w:val="001E328C"/>
    <w:rsid w:val="00244B24"/>
    <w:rsid w:val="0025203F"/>
    <w:rsid w:val="002A335C"/>
    <w:rsid w:val="002A413A"/>
    <w:rsid w:val="002C0598"/>
    <w:rsid w:val="002E3103"/>
    <w:rsid w:val="002E5597"/>
    <w:rsid w:val="00303321"/>
    <w:rsid w:val="003327A7"/>
    <w:rsid w:val="00345400"/>
    <w:rsid w:val="0037141D"/>
    <w:rsid w:val="003C6BC7"/>
    <w:rsid w:val="003E4E8C"/>
    <w:rsid w:val="003F69CC"/>
    <w:rsid w:val="0042144A"/>
    <w:rsid w:val="0044305B"/>
    <w:rsid w:val="00446B73"/>
    <w:rsid w:val="0045374B"/>
    <w:rsid w:val="00461AD7"/>
    <w:rsid w:val="004646C4"/>
    <w:rsid w:val="00473E5D"/>
    <w:rsid w:val="00485E56"/>
    <w:rsid w:val="004D64EC"/>
    <w:rsid w:val="004D7F1D"/>
    <w:rsid w:val="004E2952"/>
    <w:rsid w:val="004F5E78"/>
    <w:rsid w:val="005206ED"/>
    <w:rsid w:val="00565B58"/>
    <w:rsid w:val="00565F1C"/>
    <w:rsid w:val="00584ACB"/>
    <w:rsid w:val="005858C0"/>
    <w:rsid w:val="005A195D"/>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91032B"/>
    <w:rsid w:val="00913EFB"/>
    <w:rsid w:val="009226A7"/>
    <w:rsid w:val="009232AD"/>
    <w:rsid w:val="009265E9"/>
    <w:rsid w:val="009412CC"/>
    <w:rsid w:val="00945956"/>
    <w:rsid w:val="009D71BC"/>
    <w:rsid w:val="009E333C"/>
    <w:rsid w:val="009E739C"/>
    <w:rsid w:val="00A118AC"/>
    <w:rsid w:val="00A341B0"/>
    <w:rsid w:val="00A36A44"/>
    <w:rsid w:val="00A53282"/>
    <w:rsid w:val="00A55F53"/>
    <w:rsid w:val="00AA3E0A"/>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F639B"/>
    <w:rsid w:val="00D0012D"/>
    <w:rsid w:val="00D34FAB"/>
    <w:rsid w:val="00D60335"/>
    <w:rsid w:val="00DC418B"/>
    <w:rsid w:val="00DC6F48"/>
    <w:rsid w:val="00DD7083"/>
    <w:rsid w:val="00DE153D"/>
    <w:rsid w:val="00DF15D9"/>
    <w:rsid w:val="00E22E25"/>
    <w:rsid w:val="00E256D9"/>
    <w:rsid w:val="00E32842"/>
    <w:rsid w:val="00E37D53"/>
    <w:rsid w:val="00E86185"/>
    <w:rsid w:val="00EB4CA7"/>
    <w:rsid w:val="00F05A8C"/>
    <w:rsid w:val="00F07CFB"/>
    <w:rsid w:val="00F30FB5"/>
    <w:rsid w:val="00F46729"/>
    <w:rsid w:val="00F506EF"/>
    <w:rsid w:val="00F81812"/>
    <w:rsid w:val="00F90913"/>
    <w:rsid w:val="00F964A5"/>
    <w:rsid w:val="00FC2C15"/>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humbersidefire.gov.uk%2Fuploads%2Ffiles%2FContract-Records-Jul-2024.xls&amp;wdOrigin=BROWSELINK" TargetMode="External"/><Relationship Id="rId5" Type="http://schemas.openxmlformats.org/officeDocument/2006/relationships/styles" Target="styles.xml"/><Relationship Id="rId10" Type="http://schemas.openxmlformats.org/officeDocument/2006/relationships/hyperlink" Target="https://humbersidefire.gov.uk/about-us/senior-management-structure" TargetMode="External"/><Relationship Id="rId4" Type="http://schemas.openxmlformats.org/officeDocument/2006/relationships/numbering" Target="numbering.xml"/><Relationship Id="rId9" Type="http://schemas.openxmlformats.org/officeDocument/2006/relationships/hyperlink" Target="https://humbersidefire.delta-esourcing.com/commonNoticeSearch/viewNotice.html?displayNoticeId=4376412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2024-10-01T11:51:00Z</dcterms:created>
  <dcterms:modified xsi:type="dcterms:W3CDTF">2024-10-01T11:52:00Z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