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FB38E6">
      <w:pPr>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6CBAE4FB"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617672" w:rsidRPr="00FB38E6">
        <w:rPr>
          <w:rFonts w:ascii="Arial" w:hAnsi="Arial" w:cs="Arial"/>
          <w:b/>
          <w:bCs/>
        </w:rPr>
        <w:t>4</w:t>
      </w:r>
      <w:r w:rsidR="007D2EBD" w:rsidRPr="00FB38E6">
        <w:rPr>
          <w:rFonts w:ascii="Arial" w:hAnsi="Arial" w:cs="Arial"/>
          <w:b/>
          <w:bCs/>
        </w:rPr>
        <w:t>/</w:t>
      </w:r>
      <w:r w:rsidR="005F7452" w:rsidRPr="00FB38E6">
        <w:rPr>
          <w:rFonts w:ascii="Arial" w:hAnsi="Arial" w:cs="Arial"/>
          <w:b/>
          <w:bCs/>
        </w:rPr>
        <w:t xml:space="preserve">25 </w:t>
      </w:r>
      <w:r w:rsidR="002C24B2" w:rsidRPr="00FB38E6">
        <w:rPr>
          <w:rFonts w:ascii="Arial" w:hAnsi="Arial" w:cs="Arial"/>
          <w:b/>
          <w:bCs/>
        </w:rPr>
        <w:t>0</w:t>
      </w:r>
      <w:r w:rsidR="00956D10" w:rsidRPr="00FB38E6">
        <w:rPr>
          <w:rFonts w:ascii="Arial" w:hAnsi="Arial" w:cs="Arial"/>
          <w:b/>
          <w:bCs/>
        </w:rPr>
        <w:t>9</w:t>
      </w:r>
      <w:r w:rsidR="00A51A95">
        <w:rPr>
          <w:rFonts w:ascii="Arial" w:hAnsi="Arial" w:cs="Arial"/>
          <w:b/>
          <w:bCs/>
        </w:rPr>
        <w:t>0 – Recruitment and Retention</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E0FA16D" w14:textId="77777777" w:rsidR="00B97B36" w:rsidRPr="00FB38E6" w:rsidRDefault="001E328C" w:rsidP="00FB38E6">
      <w:pPr>
        <w:pStyle w:val="xmsonormal"/>
        <w:rPr>
          <w:rFonts w:ascii="Arial" w:hAnsi="Arial" w:cs="Arial"/>
          <w:b/>
          <w:bCs/>
          <w:sz w:val="22"/>
          <w:szCs w:val="22"/>
        </w:rPr>
      </w:pPr>
      <w:r w:rsidRPr="00FB38E6">
        <w:rPr>
          <w:rFonts w:ascii="Arial" w:hAnsi="Arial" w:cs="Arial"/>
          <w:b/>
          <w:bCs/>
          <w:sz w:val="22"/>
          <w:szCs w:val="22"/>
        </w:rPr>
        <w:t>The request is:</w:t>
      </w:r>
    </w:p>
    <w:p w14:paraId="3656B973" w14:textId="77777777" w:rsidR="00F45348" w:rsidRPr="00F45348" w:rsidRDefault="00F45348" w:rsidP="00F45348">
      <w:pPr>
        <w:spacing w:line="240" w:lineRule="auto"/>
        <w:rPr>
          <w:rFonts w:ascii="Arial" w:hAnsi="Arial" w:cs="Arial"/>
          <w:color w:val="000000"/>
          <w:lang w:eastAsia="en-GB"/>
        </w:rPr>
      </w:pPr>
      <w:r w:rsidRPr="00F45348">
        <w:rPr>
          <w:rFonts w:ascii="Arial" w:hAnsi="Arial" w:cs="Arial"/>
          <w:color w:val="000000"/>
          <w:lang w:eastAsia="en-GB"/>
        </w:rPr>
        <w:t>I would like to know the recruitment and retention statistics between October 2020-October 2024 for the following groups:</w:t>
      </w:r>
    </w:p>
    <w:p w14:paraId="38153DA8" w14:textId="77777777" w:rsidR="00F45348" w:rsidRPr="00F45348" w:rsidRDefault="00F45348" w:rsidP="00F45348">
      <w:pPr>
        <w:spacing w:line="240" w:lineRule="auto"/>
        <w:rPr>
          <w:rFonts w:ascii="Arial" w:hAnsi="Arial" w:cs="Arial"/>
          <w:color w:val="000000"/>
          <w:lang w:eastAsia="en-GB"/>
        </w:rPr>
      </w:pPr>
    </w:p>
    <w:p w14:paraId="21EB1772" w14:textId="77777777" w:rsidR="00F45348" w:rsidRPr="00F45348" w:rsidRDefault="00F45348" w:rsidP="00F45348">
      <w:pPr>
        <w:spacing w:line="240" w:lineRule="auto"/>
        <w:rPr>
          <w:rFonts w:ascii="Arial" w:hAnsi="Arial" w:cs="Arial"/>
          <w:color w:val="000000"/>
          <w:lang w:eastAsia="en-GB"/>
        </w:rPr>
      </w:pPr>
      <w:r w:rsidRPr="00F45348">
        <w:rPr>
          <w:rFonts w:ascii="Arial" w:hAnsi="Arial" w:cs="Arial"/>
          <w:color w:val="000000"/>
          <w:lang w:eastAsia="en-GB"/>
        </w:rPr>
        <w:t>a. All Women: Fire Officers and Support Staff</w:t>
      </w:r>
    </w:p>
    <w:p w14:paraId="52EF39D8" w14:textId="77777777" w:rsidR="00F45348" w:rsidRPr="00F45348" w:rsidRDefault="00F45348" w:rsidP="00F45348">
      <w:pPr>
        <w:spacing w:line="240" w:lineRule="auto"/>
        <w:rPr>
          <w:rFonts w:ascii="Arial" w:hAnsi="Arial" w:cs="Arial"/>
          <w:color w:val="000000"/>
          <w:lang w:eastAsia="en-GB"/>
        </w:rPr>
      </w:pPr>
      <w:r w:rsidRPr="00F45348">
        <w:rPr>
          <w:rFonts w:ascii="Arial" w:hAnsi="Arial" w:cs="Arial"/>
          <w:color w:val="000000"/>
          <w:lang w:eastAsia="en-GB"/>
        </w:rPr>
        <w:t>b. All Men: Fire Officers and Support Staff </w:t>
      </w:r>
    </w:p>
    <w:p w14:paraId="3E8AED9C" w14:textId="77777777" w:rsidR="00F45348" w:rsidRPr="00F45348" w:rsidRDefault="00F45348" w:rsidP="00F45348">
      <w:pPr>
        <w:spacing w:line="240" w:lineRule="auto"/>
        <w:rPr>
          <w:rFonts w:ascii="Arial" w:hAnsi="Arial" w:cs="Arial"/>
          <w:color w:val="000000"/>
          <w:lang w:eastAsia="en-GB"/>
        </w:rPr>
      </w:pPr>
      <w:r w:rsidRPr="00F45348">
        <w:rPr>
          <w:rFonts w:ascii="Arial" w:hAnsi="Arial" w:cs="Arial"/>
          <w:color w:val="000000"/>
          <w:lang w:eastAsia="en-GB"/>
        </w:rPr>
        <w:t>c. Black women (British; Caribbean; African) Fire Officers and Support Staff</w:t>
      </w:r>
    </w:p>
    <w:p w14:paraId="72CA40DA" w14:textId="77777777" w:rsidR="00F45348" w:rsidRPr="00F45348" w:rsidRDefault="00F45348" w:rsidP="00F45348">
      <w:pPr>
        <w:spacing w:line="240" w:lineRule="auto"/>
        <w:rPr>
          <w:rFonts w:ascii="Arial" w:hAnsi="Arial" w:cs="Arial"/>
          <w:color w:val="000000"/>
          <w:lang w:eastAsia="en-GB"/>
        </w:rPr>
      </w:pPr>
      <w:r w:rsidRPr="00F45348">
        <w:rPr>
          <w:rFonts w:ascii="Arial" w:hAnsi="Arial" w:cs="Arial"/>
          <w:color w:val="000000"/>
          <w:lang w:eastAsia="en-GB"/>
        </w:rPr>
        <w:t>d. Black men (British; Caribbean; African) Fire Officers and Support Staff</w:t>
      </w:r>
    </w:p>
    <w:p w14:paraId="5426DA77" w14:textId="77777777" w:rsidR="00F45348" w:rsidRPr="00F45348" w:rsidRDefault="00F45348" w:rsidP="00F45348">
      <w:pPr>
        <w:spacing w:line="240" w:lineRule="auto"/>
        <w:rPr>
          <w:rFonts w:ascii="Arial" w:hAnsi="Arial" w:cs="Arial"/>
          <w:color w:val="000000"/>
          <w:lang w:eastAsia="en-GB"/>
        </w:rPr>
      </w:pPr>
      <w:r w:rsidRPr="00F45348">
        <w:rPr>
          <w:rFonts w:ascii="Arial" w:hAnsi="Arial" w:cs="Arial"/>
          <w:color w:val="000000"/>
          <w:lang w:eastAsia="en-GB"/>
        </w:rPr>
        <w:t xml:space="preserve">e. Average length of service for </w:t>
      </w:r>
      <w:proofErr w:type="gramStart"/>
      <w:r w:rsidRPr="00F45348">
        <w:rPr>
          <w:rFonts w:ascii="Arial" w:hAnsi="Arial" w:cs="Arial"/>
          <w:color w:val="000000"/>
          <w:lang w:eastAsia="en-GB"/>
        </w:rPr>
        <w:t>all of</w:t>
      </w:r>
      <w:proofErr w:type="gramEnd"/>
      <w:r w:rsidRPr="00F45348">
        <w:rPr>
          <w:rFonts w:ascii="Arial" w:hAnsi="Arial" w:cs="Arial"/>
          <w:color w:val="000000"/>
          <w:lang w:eastAsia="en-GB"/>
        </w:rPr>
        <w:t xml:space="preserve"> the above groups. </w:t>
      </w:r>
    </w:p>
    <w:p w14:paraId="7197D707" w14:textId="77777777" w:rsidR="00F45348" w:rsidRPr="00F45348" w:rsidRDefault="00F45348" w:rsidP="00F45348">
      <w:pPr>
        <w:spacing w:line="240" w:lineRule="auto"/>
        <w:rPr>
          <w:rFonts w:ascii="Arial" w:hAnsi="Arial" w:cs="Arial"/>
          <w:color w:val="000000"/>
          <w:lang w:eastAsia="en-GB"/>
        </w:rPr>
      </w:pPr>
      <w:r w:rsidRPr="00F45348">
        <w:rPr>
          <w:rFonts w:ascii="Arial" w:hAnsi="Arial" w:cs="Arial"/>
          <w:color w:val="000000"/>
          <w:lang w:eastAsia="en-GB"/>
        </w:rPr>
        <w:t xml:space="preserve">f. Reasons for leaving the organisations for </w:t>
      </w:r>
      <w:proofErr w:type="gramStart"/>
      <w:r w:rsidRPr="00F45348">
        <w:rPr>
          <w:rFonts w:ascii="Arial" w:hAnsi="Arial" w:cs="Arial"/>
          <w:color w:val="000000"/>
          <w:lang w:eastAsia="en-GB"/>
        </w:rPr>
        <w:t>all of</w:t>
      </w:r>
      <w:proofErr w:type="gramEnd"/>
      <w:r w:rsidRPr="00F45348">
        <w:rPr>
          <w:rFonts w:ascii="Arial" w:hAnsi="Arial" w:cs="Arial"/>
          <w:color w:val="000000"/>
          <w:lang w:eastAsia="en-GB"/>
        </w:rPr>
        <w:t xml:space="preserve"> the above groups, e.g. retired, resigned, dismissed, redundancy, death in service.</w:t>
      </w:r>
    </w:p>
    <w:p w14:paraId="6E4ABC08" w14:textId="77777777" w:rsidR="00C86C85" w:rsidRPr="00FB38E6" w:rsidRDefault="00C86C85" w:rsidP="00FB38E6">
      <w:pPr>
        <w:spacing w:line="240" w:lineRule="auto"/>
        <w:rPr>
          <w:rFonts w:ascii="Arial" w:hAnsi="Arial" w:cs="Arial"/>
          <w:color w:val="000000"/>
          <w:lang w:eastAsia="en-GB"/>
        </w:rPr>
      </w:pPr>
    </w:p>
    <w:p w14:paraId="12A179CE" w14:textId="77777777" w:rsidR="00C86C85" w:rsidRPr="00FB38E6" w:rsidRDefault="00C86C85" w:rsidP="00FB38E6">
      <w:pPr>
        <w:spacing w:line="240" w:lineRule="auto"/>
        <w:rPr>
          <w:rFonts w:ascii="Arial" w:hAnsi="Arial" w:cs="Arial"/>
          <w:color w:val="000000"/>
          <w:lang w:eastAsia="en-GB"/>
        </w:rPr>
      </w:pPr>
    </w:p>
    <w:p w14:paraId="50CEEE66" w14:textId="6262D43D"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03C48604" w14:textId="77777777" w:rsidR="00F45348" w:rsidRPr="00F45348" w:rsidRDefault="00F45348" w:rsidP="00F45348">
      <w:pPr>
        <w:pStyle w:val="PlainText"/>
        <w:rPr>
          <w:rFonts w:ascii="Arial" w:hAnsi="Arial" w:cs="Arial"/>
        </w:rPr>
      </w:pPr>
      <w:r w:rsidRPr="00F45348">
        <w:rPr>
          <w:rFonts w:ascii="Arial" w:hAnsi="Arial" w:cs="Arial"/>
        </w:rPr>
        <w:t>I can confirm that Humberside Fire and Rescue Service hold this information.</w:t>
      </w:r>
    </w:p>
    <w:p w14:paraId="2555FDC7" w14:textId="77777777" w:rsidR="00F45348" w:rsidRPr="00F45348" w:rsidRDefault="00F45348" w:rsidP="00F45348">
      <w:pPr>
        <w:pStyle w:val="PlainText"/>
        <w:rPr>
          <w:rFonts w:ascii="Arial" w:hAnsi="Arial" w:cs="Arial"/>
        </w:rPr>
      </w:pPr>
      <w:r w:rsidRPr="00F45348">
        <w:rPr>
          <w:rFonts w:ascii="Arial" w:hAnsi="Arial" w:cs="Arial"/>
          <w:b/>
          <w:bCs/>
        </w:rPr>
        <w:t> </w:t>
      </w:r>
    </w:p>
    <w:p w14:paraId="6EF58937" w14:textId="77777777" w:rsidR="00F45348" w:rsidRPr="00F45348" w:rsidRDefault="00F45348" w:rsidP="00F45348">
      <w:pPr>
        <w:pStyle w:val="PlainText"/>
        <w:rPr>
          <w:rFonts w:ascii="Arial" w:hAnsi="Arial" w:cs="Arial"/>
        </w:rPr>
      </w:pPr>
      <w:r w:rsidRPr="00F45348">
        <w:rPr>
          <w:rFonts w:ascii="Arial" w:hAnsi="Arial" w:cs="Arial"/>
        </w:rPr>
        <w:t>For recruitment:</w:t>
      </w:r>
    </w:p>
    <w:p w14:paraId="5C9DFF96" w14:textId="77777777" w:rsidR="00F45348" w:rsidRPr="00F45348" w:rsidRDefault="00F45348" w:rsidP="00F45348">
      <w:pPr>
        <w:pStyle w:val="PlainText"/>
        <w:rPr>
          <w:rFonts w:ascii="Arial" w:hAnsi="Arial" w:cs="Arial"/>
        </w:rPr>
      </w:pPr>
      <w:r w:rsidRPr="00F45348">
        <w:rPr>
          <w:rFonts w:ascii="Arial" w:hAnsi="Arial" w:cs="Arial"/>
        </w:rPr>
        <w:t>a. All Women: Fire Officers and Support Staff</w:t>
      </w:r>
    </w:p>
    <w:p w14:paraId="3462FA08" w14:textId="77777777" w:rsidR="00F45348" w:rsidRPr="00F45348" w:rsidRDefault="00F45348" w:rsidP="00F45348">
      <w:pPr>
        <w:pStyle w:val="PlainText"/>
        <w:rPr>
          <w:rFonts w:ascii="Arial" w:hAnsi="Arial" w:cs="Arial"/>
        </w:rPr>
      </w:pPr>
      <w:r w:rsidRPr="00F45348">
        <w:rPr>
          <w:rFonts w:ascii="Arial" w:hAnsi="Arial" w:cs="Arial"/>
        </w:rPr>
        <w:t>Total - 90</w:t>
      </w:r>
    </w:p>
    <w:p w14:paraId="541EC4E5" w14:textId="77777777" w:rsidR="00F45348" w:rsidRPr="00F45348" w:rsidRDefault="00F45348" w:rsidP="00F45348">
      <w:pPr>
        <w:pStyle w:val="PlainText"/>
        <w:rPr>
          <w:rFonts w:ascii="Arial" w:hAnsi="Arial" w:cs="Arial"/>
        </w:rPr>
      </w:pPr>
    </w:p>
    <w:p w14:paraId="3B7463AD" w14:textId="77777777" w:rsidR="00F45348" w:rsidRPr="00F45348" w:rsidRDefault="00F45348" w:rsidP="00F45348">
      <w:pPr>
        <w:pStyle w:val="PlainText"/>
        <w:rPr>
          <w:rFonts w:ascii="Arial" w:hAnsi="Arial" w:cs="Arial"/>
        </w:rPr>
      </w:pPr>
      <w:r w:rsidRPr="00F45348">
        <w:rPr>
          <w:rFonts w:ascii="Arial" w:hAnsi="Arial" w:cs="Arial"/>
        </w:rPr>
        <w:t>b. All Men: Fire Officers and Support Staff </w:t>
      </w:r>
    </w:p>
    <w:p w14:paraId="7B20BF8E" w14:textId="77777777" w:rsidR="00F45348" w:rsidRPr="00F45348" w:rsidRDefault="00F45348" w:rsidP="00F45348">
      <w:pPr>
        <w:pStyle w:val="PlainText"/>
        <w:rPr>
          <w:rFonts w:ascii="Arial" w:hAnsi="Arial" w:cs="Arial"/>
        </w:rPr>
      </w:pPr>
      <w:r w:rsidRPr="00F45348">
        <w:rPr>
          <w:rFonts w:ascii="Arial" w:hAnsi="Arial" w:cs="Arial"/>
        </w:rPr>
        <w:t>Total – 255</w:t>
      </w:r>
    </w:p>
    <w:p w14:paraId="3261B761" w14:textId="77777777" w:rsidR="00F45348" w:rsidRPr="00F45348" w:rsidRDefault="00F45348" w:rsidP="00F45348">
      <w:pPr>
        <w:pStyle w:val="PlainText"/>
        <w:rPr>
          <w:rFonts w:ascii="Arial" w:hAnsi="Arial" w:cs="Arial"/>
        </w:rPr>
      </w:pPr>
    </w:p>
    <w:p w14:paraId="69C4C367" w14:textId="77777777" w:rsidR="00F45348" w:rsidRPr="00F45348" w:rsidRDefault="00F45348" w:rsidP="00F45348">
      <w:pPr>
        <w:pStyle w:val="PlainText"/>
        <w:rPr>
          <w:rFonts w:ascii="Arial" w:hAnsi="Arial" w:cs="Arial"/>
        </w:rPr>
      </w:pPr>
      <w:proofErr w:type="spellStart"/>
      <w:r w:rsidRPr="00F45348">
        <w:rPr>
          <w:rFonts w:ascii="Arial" w:hAnsi="Arial" w:cs="Arial"/>
        </w:rPr>
        <w:t>c&amp;d</w:t>
      </w:r>
      <w:proofErr w:type="spellEnd"/>
      <w:r w:rsidRPr="00F45348">
        <w:rPr>
          <w:rFonts w:ascii="Arial" w:hAnsi="Arial" w:cs="Arial"/>
        </w:rPr>
        <w:t>. Black women (British; Caribbean; African) Fire Officers and Support Staff /Black men (British; Caribbean; African) Fire Officers and Support Staff</w:t>
      </w:r>
    </w:p>
    <w:p w14:paraId="3C8924FA" w14:textId="77777777" w:rsidR="00F45348" w:rsidRPr="00F45348" w:rsidRDefault="00F45348" w:rsidP="00F45348">
      <w:pPr>
        <w:pStyle w:val="PlainText"/>
        <w:rPr>
          <w:rFonts w:ascii="Arial" w:hAnsi="Arial" w:cs="Arial"/>
        </w:rPr>
      </w:pPr>
      <w:r w:rsidRPr="00F45348">
        <w:rPr>
          <w:rFonts w:ascii="Arial" w:hAnsi="Arial" w:cs="Arial"/>
        </w:rPr>
        <w:t>We confirm that we have recruited staff from these groups, however, due to the low numbers involved we are unable to disclose actual numbers as this is likely to identity the individuals concerned and is therefore deemed to be personal data which is exempt under Section 40 (2) of the FOIA. Personal data is information that relates to an identified or identifiable individual. Please see further information on Section 40 (2) below.</w:t>
      </w:r>
    </w:p>
    <w:p w14:paraId="745C6D7F" w14:textId="77777777" w:rsidR="00F45348" w:rsidRPr="00F45348" w:rsidRDefault="00F45348" w:rsidP="00F45348">
      <w:pPr>
        <w:pStyle w:val="PlainText"/>
        <w:rPr>
          <w:rFonts w:ascii="Arial" w:hAnsi="Arial" w:cs="Arial"/>
        </w:rPr>
      </w:pPr>
    </w:p>
    <w:p w14:paraId="18E1A9CF" w14:textId="77777777" w:rsidR="00F45348" w:rsidRPr="00F45348" w:rsidRDefault="00F45348" w:rsidP="00F45348">
      <w:pPr>
        <w:pStyle w:val="PlainText"/>
        <w:rPr>
          <w:rFonts w:ascii="Arial" w:hAnsi="Arial" w:cs="Arial"/>
        </w:rPr>
      </w:pPr>
      <w:r w:rsidRPr="00F45348">
        <w:rPr>
          <w:rFonts w:ascii="Arial" w:hAnsi="Arial" w:cs="Arial"/>
        </w:rPr>
        <w:t>There are 6 individuals who selected ‘Prefer not to say’ for their gender, and so they cannot be categorised into the groups above. Similarly, 15 individuals selected ‘Prefer not to say’ for their ethnicity – 3 of these specified their gender and so are included in either category a. or b., but are not included in c or d.</w:t>
      </w:r>
    </w:p>
    <w:p w14:paraId="243C29AA" w14:textId="77777777" w:rsidR="00F45348" w:rsidRPr="00F45348" w:rsidRDefault="00F45348" w:rsidP="00F45348">
      <w:pPr>
        <w:pStyle w:val="PlainText"/>
        <w:rPr>
          <w:rFonts w:ascii="Arial" w:hAnsi="Arial" w:cs="Arial"/>
        </w:rPr>
      </w:pPr>
    </w:p>
    <w:p w14:paraId="331732D4" w14:textId="77777777" w:rsidR="00F45348" w:rsidRPr="00F45348" w:rsidRDefault="00F45348" w:rsidP="00F45348">
      <w:pPr>
        <w:pStyle w:val="PlainText"/>
        <w:rPr>
          <w:rFonts w:ascii="Arial" w:hAnsi="Arial" w:cs="Arial"/>
        </w:rPr>
      </w:pPr>
      <w:r w:rsidRPr="00F45348">
        <w:rPr>
          <w:rFonts w:ascii="Arial" w:hAnsi="Arial" w:cs="Arial"/>
        </w:rPr>
        <w:t>For retention:</w:t>
      </w:r>
    </w:p>
    <w:p w14:paraId="1C05C137" w14:textId="77777777" w:rsidR="00F45348" w:rsidRPr="00F45348" w:rsidRDefault="00F45348" w:rsidP="00F45348">
      <w:pPr>
        <w:pStyle w:val="PlainText"/>
        <w:rPr>
          <w:rFonts w:ascii="Arial" w:hAnsi="Arial" w:cs="Arial"/>
        </w:rPr>
      </w:pPr>
      <w:r w:rsidRPr="00F45348">
        <w:rPr>
          <w:rFonts w:ascii="Arial" w:hAnsi="Arial" w:cs="Arial"/>
        </w:rPr>
        <w:t> a. All Women: Fire Officers and Support Staff</w:t>
      </w:r>
    </w:p>
    <w:p w14:paraId="23D2186C" w14:textId="77777777" w:rsidR="00F45348" w:rsidRPr="00F45348" w:rsidRDefault="00F45348" w:rsidP="00F45348">
      <w:pPr>
        <w:pStyle w:val="PlainText"/>
        <w:rPr>
          <w:rFonts w:ascii="Arial" w:hAnsi="Arial" w:cs="Arial"/>
        </w:rPr>
      </w:pPr>
      <w:r w:rsidRPr="00F45348">
        <w:rPr>
          <w:rFonts w:ascii="Arial" w:hAnsi="Arial" w:cs="Arial"/>
        </w:rPr>
        <w:t>Total leavers - 76</w:t>
      </w:r>
    </w:p>
    <w:p w14:paraId="4DFFBEFA" w14:textId="77777777" w:rsidR="00F45348" w:rsidRPr="00F45348" w:rsidRDefault="00F45348" w:rsidP="00F45348">
      <w:pPr>
        <w:pStyle w:val="PlainText"/>
        <w:rPr>
          <w:rFonts w:ascii="Arial" w:hAnsi="Arial" w:cs="Arial"/>
        </w:rPr>
      </w:pPr>
      <w:r w:rsidRPr="00F45348">
        <w:rPr>
          <w:rFonts w:ascii="Arial" w:hAnsi="Arial" w:cs="Arial"/>
        </w:rPr>
        <w:t>Average length of service – 11 years</w:t>
      </w:r>
    </w:p>
    <w:p w14:paraId="674E4B31" w14:textId="77777777" w:rsidR="00F45348" w:rsidRPr="00F45348" w:rsidRDefault="00F45348" w:rsidP="00F45348">
      <w:pPr>
        <w:pStyle w:val="PlainText"/>
        <w:rPr>
          <w:rFonts w:ascii="Arial" w:hAnsi="Arial" w:cs="Arial"/>
        </w:rPr>
      </w:pPr>
    </w:p>
    <w:p w14:paraId="41A796DA" w14:textId="77777777" w:rsidR="00F45348" w:rsidRPr="00F45348" w:rsidRDefault="00F45348" w:rsidP="00F45348">
      <w:pPr>
        <w:pStyle w:val="PlainText"/>
        <w:rPr>
          <w:rFonts w:ascii="Arial" w:hAnsi="Arial" w:cs="Arial"/>
        </w:rPr>
      </w:pPr>
      <w:r w:rsidRPr="00F45348">
        <w:rPr>
          <w:rFonts w:ascii="Arial" w:hAnsi="Arial" w:cs="Arial"/>
        </w:rPr>
        <w:t>b. All Men: Fire Officers and Support Staff </w:t>
      </w:r>
    </w:p>
    <w:p w14:paraId="5553134B" w14:textId="77777777" w:rsidR="00F45348" w:rsidRPr="00F45348" w:rsidRDefault="00F45348" w:rsidP="00F45348">
      <w:pPr>
        <w:pStyle w:val="PlainText"/>
        <w:rPr>
          <w:rFonts w:ascii="Arial" w:hAnsi="Arial" w:cs="Arial"/>
        </w:rPr>
      </w:pPr>
      <w:r w:rsidRPr="00F45348">
        <w:rPr>
          <w:rFonts w:ascii="Arial" w:hAnsi="Arial" w:cs="Arial"/>
        </w:rPr>
        <w:t>Total leavers - 314</w:t>
      </w:r>
    </w:p>
    <w:p w14:paraId="6F1805E0" w14:textId="77777777" w:rsidR="00F45348" w:rsidRPr="00F45348" w:rsidRDefault="00F45348" w:rsidP="00F45348">
      <w:pPr>
        <w:pStyle w:val="PlainText"/>
        <w:rPr>
          <w:rFonts w:ascii="Arial" w:hAnsi="Arial" w:cs="Arial"/>
        </w:rPr>
      </w:pPr>
      <w:r w:rsidRPr="00F45348">
        <w:rPr>
          <w:rFonts w:ascii="Arial" w:hAnsi="Arial" w:cs="Arial"/>
        </w:rPr>
        <w:t>Average length of service – 15 years</w:t>
      </w:r>
    </w:p>
    <w:p w14:paraId="07A65638" w14:textId="77777777" w:rsidR="00F45348" w:rsidRPr="00F45348" w:rsidRDefault="00F45348" w:rsidP="00F45348">
      <w:pPr>
        <w:pStyle w:val="PlainText"/>
        <w:rPr>
          <w:rFonts w:ascii="Arial" w:hAnsi="Arial" w:cs="Arial"/>
        </w:rPr>
      </w:pPr>
    </w:p>
    <w:p w14:paraId="13464EEE" w14:textId="77777777" w:rsidR="00F45348" w:rsidRPr="00F45348" w:rsidRDefault="00F45348" w:rsidP="00F45348">
      <w:pPr>
        <w:pStyle w:val="PlainText"/>
        <w:rPr>
          <w:rFonts w:ascii="Arial" w:hAnsi="Arial" w:cs="Arial"/>
        </w:rPr>
      </w:pPr>
      <w:r w:rsidRPr="00F45348">
        <w:rPr>
          <w:rFonts w:ascii="Arial" w:hAnsi="Arial" w:cs="Arial"/>
        </w:rPr>
        <w:t>c. Black women (British; Caribbean; African) Fire Officers and Support Staff</w:t>
      </w:r>
    </w:p>
    <w:p w14:paraId="0B4EB6DD" w14:textId="77777777" w:rsidR="00F45348" w:rsidRPr="00F45348" w:rsidRDefault="00F45348" w:rsidP="00F45348">
      <w:pPr>
        <w:pStyle w:val="PlainText"/>
        <w:rPr>
          <w:rFonts w:ascii="Arial" w:hAnsi="Arial" w:cs="Arial"/>
        </w:rPr>
      </w:pPr>
      <w:r w:rsidRPr="00F45348">
        <w:rPr>
          <w:rFonts w:ascii="Arial" w:hAnsi="Arial" w:cs="Arial"/>
        </w:rPr>
        <w:t>Total leavers - 0</w:t>
      </w:r>
    </w:p>
    <w:p w14:paraId="65C9EAD0" w14:textId="77777777" w:rsidR="00F45348" w:rsidRPr="00F45348" w:rsidRDefault="00F45348" w:rsidP="00F45348">
      <w:pPr>
        <w:pStyle w:val="PlainText"/>
        <w:rPr>
          <w:rFonts w:ascii="Arial" w:hAnsi="Arial" w:cs="Arial"/>
        </w:rPr>
      </w:pPr>
      <w:r w:rsidRPr="00F45348">
        <w:rPr>
          <w:rFonts w:ascii="Arial" w:hAnsi="Arial" w:cs="Arial"/>
        </w:rPr>
        <w:t>Average length of service – N/A</w:t>
      </w:r>
    </w:p>
    <w:p w14:paraId="0E42260D" w14:textId="77777777" w:rsidR="00F45348" w:rsidRPr="00F45348" w:rsidRDefault="00F45348" w:rsidP="00F45348">
      <w:pPr>
        <w:pStyle w:val="PlainText"/>
        <w:rPr>
          <w:rFonts w:ascii="Arial" w:hAnsi="Arial" w:cs="Arial"/>
        </w:rPr>
      </w:pPr>
    </w:p>
    <w:p w14:paraId="1ABA7733" w14:textId="77777777" w:rsidR="00F45348" w:rsidRPr="00F45348" w:rsidRDefault="00F45348" w:rsidP="00F45348">
      <w:pPr>
        <w:pStyle w:val="PlainText"/>
        <w:rPr>
          <w:rFonts w:ascii="Arial" w:hAnsi="Arial" w:cs="Arial"/>
        </w:rPr>
      </w:pPr>
      <w:r w:rsidRPr="00F45348">
        <w:rPr>
          <w:rFonts w:ascii="Arial" w:hAnsi="Arial" w:cs="Arial"/>
        </w:rPr>
        <w:t>d. Black men (British; Caribbean; African) Fire Officers and Support Staff</w:t>
      </w:r>
    </w:p>
    <w:p w14:paraId="7E7B9506" w14:textId="77777777" w:rsidR="00F45348" w:rsidRPr="00F45348" w:rsidRDefault="00F45348" w:rsidP="00F45348">
      <w:pPr>
        <w:pStyle w:val="PlainText"/>
        <w:rPr>
          <w:rFonts w:ascii="Arial" w:hAnsi="Arial" w:cs="Arial"/>
        </w:rPr>
      </w:pPr>
      <w:r w:rsidRPr="00F45348">
        <w:rPr>
          <w:rFonts w:ascii="Arial" w:hAnsi="Arial" w:cs="Arial"/>
        </w:rPr>
        <w:t>Total leavers - 7</w:t>
      </w:r>
    </w:p>
    <w:p w14:paraId="6610FB8B" w14:textId="77777777" w:rsidR="00F45348" w:rsidRPr="00F45348" w:rsidRDefault="00F45348" w:rsidP="00F45348">
      <w:pPr>
        <w:pStyle w:val="PlainText"/>
        <w:rPr>
          <w:rFonts w:ascii="Arial" w:hAnsi="Arial" w:cs="Arial"/>
        </w:rPr>
      </w:pPr>
      <w:r w:rsidRPr="00F45348">
        <w:rPr>
          <w:rFonts w:ascii="Arial" w:hAnsi="Arial" w:cs="Arial"/>
        </w:rPr>
        <w:t>Average length of service – 12 years</w:t>
      </w:r>
    </w:p>
    <w:p w14:paraId="348EE0C8" w14:textId="77777777" w:rsidR="00F45348" w:rsidRPr="00F45348" w:rsidRDefault="00F45348" w:rsidP="00F45348">
      <w:pPr>
        <w:pStyle w:val="PlainText"/>
        <w:rPr>
          <w:rFonts w:ascii="Arial" w:hAnsi="Arial" w:cs="Arial"/>
        </w:rPr>
      </w:pPr>
    </w:p>
    <w:p w14:paraId="685237F7" w14:textId="77777777" w:rsidR="00F45348" w:rsidRPr="00F45348" w:rsidRDefault="00F45348" w:rsidP="00F45348">
      <w:pPr>
        <w:pStyle w:val="PlainText"/>
        <w:rPr>
          <w:rFonts w:ascii="Arial" w:hAnsi="Arial" w:cs="Arial"/>
        </w:rPr>
      </w:pPr>
      <w:r w:rsidRPr="00F45348">
        <w:rPr>
          <w:rFonts w:ascii="Arial" w:hAnsi="Arial" w:cs="Arial"/>
        </w:rPr>
        <w:t>There are also 19 individuals who selected ‘Prefer not to say’ for their gender, and so they cannot be categorised into the groups above. Similarly, 44 individuals selected ‘Prefer not to say’ for their ethnicity – 32 of these specified their gender and so are included in either category a. or b., but are not included in c or d.</w:t>
      </w:r>
    </w:p>
    <w:p w14:paraId="3539DA5E" w14:textId="77777777" w:rsidR="00F45348" w:rsidRPr="00F45348" w:rsidRDefault="00F45348" w:rsidP="00F45348">
      <w:pPr>
        <w:pStyle w:val="PlainText"/>
        <w:rPr>
          <w:rFonts w:ascii="Arial" w:hAnsi="Arial" w:cs="Arial"/>
        </w:rPr>
      </w:pPr>
    </w:p>
    <w:p w14:paraId="077B279C" w14:textId="77777777" w:rsidR="00F45348" w:rsidRPr="00F45348" w:rsidRDefault="00F45348" w:rsidP="00F45348">
      <w:pPr>
        <w:pStyle w:val="PlainText"/>
        <w:rPr>
          <w:rFonts w:ascii="Arial" w:hAnsi="Arial" w:cs="Arial"/>
        </w:rPr>
      </w:pPr>
      <w:r w:rsidRPr="00F45348">
        <w:rPr>
          <w:rFonts w:ascii="Arial" w:hAnsi="Arial" w:cs="Arial"/>
        </w:rPr>
        <w:t xml:space="preserve">e. Average length of service for </w:t>
      </w:r>
      <w:proofErr w:type="gramStart"/>
      <w:r w:rsidRPr="00F45348">
        <w:rPr>
          <w:rFonts w:ascii="Arial" w:hAnsi="Arial" w:cs="Arial"/>
        </w:rPr>
        <w:t>all of</w:t>
      </w:r>
      <w:proofErr w:type="gramEnd"/>
      <w:r w:rsidRPr="00F45348">
        <w:rPr>
          <w:rFonts w:ascii="Arial" w:hAnsi="Arial" w:cs="Arial"/>
        </w:rPr>
        <w:t xml:space="preserve"> the above groups – included above</w:t>
      </w:r>
    </w:p>
    <w:p w14:paraId="1AAB4EE3" w14:textId="77777777" w:rsidR="00F45348" w:rsidRPr="00F45348" w:rsidRDefault="00F45348" w:rsidP="00F45348">
      <w:pPr>
        <w:pStyle w:val="PlainText"/>
        <w:rPr>
          <w:rFonts w:ascii="Arial" w:hAnsi="Arial" w:cs="Arial"/>
        </w:rPr>
      </w:pPr>
    </w:p>
    <w:p w14:paraId="38FE0B52" w14:textId="77777777" w:rsidR="00F45348" w:rsidRPr="00F45348" w:rsidRDefault="00F45348" w:rsidP="00F45348">
      <w:pPr>
        <w:pStyle w:val="PlainText"/>
        <w:rPr>
          <w:rFonts w:ascii="Arial" w:hAnsi="Arial" w:cs="Arial"/>
        </w:rPr>
      </w:pPr>
      <w:r w:rsidRPr="00F45348">
        <w:rPr>
          <w:rFonts w:ascii="Arial" w:hAnsi="Arial" w:cs="Arial"/>
        </w:rPr>
        <w:t xml:space="preserve">f. Reasons for leaving include resignation, retirement, ill health retirement, deceased, end of fixed term contract and dismissal. </w:t>
      </w:r>
    </w:p>
    <w:p w14:paraId="05050CC1" w14:textId="77777777" w:rsidR="00F45348" w:rsidRPr="00F45348" w:rsidRDefault="00F45348" w:rsidP="00F45348">
      <w:pPr>
        <w:pStyle w:val="PlainText"/>
        <w:rPr>
          <w:rFonts w:ascii="Arial" w:hAnsi="Arial" w:cs="Arial"/>
        </w:rPr>
      </w:pPr>
    </w:p>
    <w:p w14:paraId="2DC6F1ED" w14:textId="77777777" w:rsidR="00F45348" w:rsidRPr="00F45348" w:rsidRDefault="00F45348" w:rsidP="00F45348">
      <w:pPr>
        <w:pStyle w:val="PlainText"/>
        <w:rPr>
          <w:rFonts w:ascii="Arial" w:hAnsi="Arial" w:cs="Arial"/>
        </w:rPr>
      </w:pPr>
      <w:r w:rsidRPr="00F45348">
        <w:rPr>
          <w:rFonts w:ascii="Arial" w:hAnsi="Arial" w:cs="Arial"/>
        </w:rPr>
        <w:t>Again, due to the small numbers involved we are unable to disclose actual numbers for the groups requested as this is likely to identity the individuals concerned and is therefore deemed to be personal data which is exempt under Section 40 (2) of the FOI. Personal data is information that relates to an identified or identifiable individual. Please see further information on Section 40 (2) below.</w:t>
      </w:r>
    </w:p>
    <w:p w14:paraId="443BD236" w14:textId="77777777" w:rsidR="00F45348" w:rsidRPr="00F45348" w:rsidRDefault="00F45348" w:rsidP="00F45348">
      <w:pPr>
        <w:pStyle w:val="PlainText"/>
        <w:rPr>
          <w:rFonts w:ascii="Arial" w:hAnsi="Arial" w:cs="Arial"/>
        </w:rPr>
      </w:pPr>
    </w:p>
    <w:p w14:paraId="45FC3589" w14:textId="77777777" w:rsidR="00F45348" w:rsidRPr="00F45348" w:rsidRDefault="00F45348" w:rsidP="00F45348">
      <w:pPr>
        <w:pStyle w:val="PlainText"/>
        <w:rPr>
          <w:rFonts w:ascii="Arial" w:hAnsi="Arial" w:cs="Arial"/>
        </w:rPr>
      </w:pPr>
    </w:p>
    <w:p w14:paraId="779EB364" w14:textId="77777777" w:rsidR="00F45348" w:rsidRPr="00F45348" w:rsidRDefault="00F45348" w:rsidP="00F45348">
      <w:pPr>
        <w:pStyle w:val="PlainText"/>
        <w:rPr>
          <w:rFonts w:ascii="Arial" w:hAnsi="Arial" w:cs="Arial"/>
          <w:b/>
          <w:bCs/>
        </w:rPr>
      </w:pPr>
      <w:r w:rsidRPr="00F45348">
        <w:rPr>
          <w:rFonts w:ascii="Arial" w:hAnsi="Arial" w:cs="Arial"/>
          <w:b/>
          <w:bCs/>
        </w:rPr>
        <w:t> Section 40 of FOIA:</w:t>
      </w:r>
    </w:p>
    <w:p w14:paraId="1E54EF61" w14:textId="77777777" w:rsidR="00F45348" w:rsidRPr="00F45348" w:rsidRDefault="00F45348" w:rsidP="00F45348">
      <w:pPr>
        <w:pStyle w:val="PlainText"/>
        <w:rPr>
          <w:rFonts w:ascii="Arial" w:hAnsi="Arial" w:cs="Arial"/>
        </w:rPr>
      </w:pPr>
    </w:p>
    <w:p w14:paraId="3B700D04" w14:textId="77777777" w:rsidR="00F45348" w:rsidRPr="00F45348" w:rsidRDefault="00F45348" w:rsidP="00F45348">
      <w:pPr>
        <w:pStyle w:val="PlainText"/>
        <w:rPr>
          <w:rFonts w:ascii="Arial" w:hAnsi="Arial" w:cs="Arial"/>
        </w:rPr>
      </w:pPr>
      <w:r w:rsidRPr="00F45348">
        <w:rPr>
          <w:rFonts w:ascii="Arial" w:hAnsi="Arial" w:cs="Arial"/>
        </w:rPr>
        <w:t>(2) Any information to which a request for information relates is also exempt information if—</w:t>
      </w:r>
    </w:p>
    <w:p w14:paraId="54B035CF" w14:textId="77777777" w:rsidR="00F45348" w:rsidRPr="00F45348" w:rsidRDefault="00F45348" w:rsidP="00F45348">
      <w:pPr>
        <w:pStyle w:val="PlainText"/>
        <w:rPr>
          <w:rFonts w:ascii="Arial" w:hAnsi="Arial" w:cs="Arial"/>
        </w:rPr>
      </w:pPr>
    </w:p>
    <w:p w14:paraId="070D1A7F" w14:textId="77777777" w:rsidR="00F45348" w:rsidRPr="00F45348" w:rsidRDefault="00F45348" w:rsidP="00F45348">
      <w:pPr>
        <w:pStyle w:val="PlainText"/>
        <w:numPr>
          <w:ilvl w:val="0"/>
          <w:numId w:val="7"/>
        </w:numPr>
        <w:rPr>
          <w:rFonts w:ascii="Arial" w:hAnsi="Arial" w:cs="Arial"/>
        </w:rPr>
      </w:pPr>
      <w:r w:rsidRPr="00F45348">
        <w:rPr>
          <w:rFonts w:ascii="Arial" w:hAnsi="Arial" w:cs="Arial"/>
        </w:rPr>
        <w:t>it constitutes personal data which does not fall within subsection (1), and</w:t>
      </w:r>
    </w:p>
    <w:p w14:paraId="1CBE3AE1" w14:textId="77777777" w:rsidR="00F45348" w:rsidRPr="00F45348" w:rsidRDefault="00F45348" w:rsidP="00F45348">
      <w:pPr>
        <w:pStyle w:val="PlainText"/>
        <w:rPr>
          <w:rFonts w:ascii="Arial" w:hAnsi="Arial" w:cs="Arial"/>
        </w:rPr>
      </w:pPr>
    </w:p>
    <w:p w14:paraId="48E57AD1" w14:textId="77777777" w:rsidR="00F45348" w:rsidRPr="00F45348" w:rsidRDefault="00F45348" w:rsidP="00F45348">
      <w:pPr>
        <w:pStyle w:val="PlainText"/>
        <w:numPr>
          <w:ilvl w:val="0"/>
          <w:numId w:val="7"/>
        </w:numPr>
        <w:rPr>
          <w:rFonts w:ascii="Arial" w:hAnsi="Arial" w:cs="Arial"/>
        </w:rPr>
      </w:pPr>
      <w:r w:rsidRPr="00F45348">
        <w:rPr>
          <w:rFonts w:ascii="Arial" w:hAnsi="Arial" w:cs="Arial"/>
        </w:rPr>
        <w:t>the first […] condition below is satisfied.</w:t>
      </w:r>
    </w:p>
    <w:p w14:paraId="26A57CCB" w14:textId="77777777" w:rsidR="00F45348" w:rsidRPr="00F45348" w:rsidRDefault="00F45348" w:rsidP="00F45348">
      <w:pPr>
        <w:pStyle w:val="PlainText"/>
        <w:rPr>
          <w:rFonts w:ascii="Arial" w:hAnsi="Arial" w:cs="Arial"/>
        </w:rPr>
      </w:pPr>
    </w:p>
    <w:p w14:paraId="35B13B8F" w14:textId="77777777" w:rsidR="00F45348" w:rsidRPr="00F45348" w:rsidRDefault="00F45348" w:rsidP="00F45348">
      <w:pPr>
        <w:pStyle w:val="PlainText"/>
        <w:rPr>
          <w:rFonts w:ascii="Arial" w:hAnsi="Arial" w:cs="Arial"/>
        </w:rPr>
      </w:pPr>
      <w:r w:rsidRPr="00F45348">
        <w:rPr>
          <w:rFonts w:ascii="Arial" w:hAnsi="Arial" w:cs="Arial"/>
        </w:rPr>
        <w:t>(3A) The first condition is that the disclosure of the information to a member of the public otherwise than under this Act—</w:t>
      </w:r>
    </w:p>
    <w:p w14:paraId="6B469F2F" w14:textId="77777777" w:rsidR="00F45348" w:rsidRPr="00F45348" w:rsidRDefault="00F45348" w:rsidP="00F45348">
      <w:pPr>
        <w:pStyle w:val="PlainText"/>
        <w:rPr>
          <w:rFonts w:ascii="Arial" w:hAnsi="Arial" w:cs="Arial"/>
        </w:rPr>
      </w:pPr>
    </w:p>
    <w:p w14:paraId="0F55BDCC" w14:textId="77777777" w:rsidR="00F45348" w:rsidRPr="00F45348" w:rsidRDefault="00F45348" w:rsidP="00F45348">
      <w:pPr>
        <w:pStyle w:val="PlainText"/>
        <w:numPr>
          <w:ilvl w:val="0"/>
          <w:numId w:val="8"/>
        </w:numPr>
        <w:rPr>
          <w:rFonts w:ascii="Arial" w:hAnsi="Arial" w:cs="Arial"/>
        </w:rPr>
      </w:pPr>
      <w:r w:rsidRPr="00F45348">
        <w:rPr>
          <w:rFonts w:ascii="Arial" w:hAnsi="Arial" w:cs="Arial"/>
        </w:rPr>
        <w:t>would contravene any of the data protection principles</w:t>
      </w:r>
    </w:p>
    <w:p w14:paraId="675EE7FD" w14:textId="77777777" w:rsidR="00F45348" w:rsidRPr="00F45348" w:rsidRDefault="00F45348" w:rsidP="00F45348">
      <w:pPr>
        <w:pStyle w:val="PlainText"/>
        <w:rPr>
          <w:rFonts w:ascii="Arial" w:hAnsi="Arial" w:cs="Arial"/>
        </w:rPr>
      </w:pPr>
    </w:p>
    <w:p w14:paraId="3EF6CD8C" w14:textId="77777777" w:rsidR="00F45348" w:rsidRPr="00F45348" w:rsidRDefault="00F45348" w:rsidP="00F45348">
      <w:pPr>
        <w:pStyle w:val="PlainText"/>
        <w:rPr>
          <w:rFonts w:ascii="Arial" w:hAnsi="Arial" w:cs="Arial"/>
        </w:rPr>
      </w:pPr>
      <w:r w:rsidRPr="00F45348">
        <w:rPr>
          <w:rFonts w:ascii="Arial" w:hAnsi="Arial" w:cs="Arial"/>
        </w:rPr>
        <w:t>Section 40(2) is an absolute exemption where if the first condition is satisfied, then a public interest test is not necessary, however, public interest must be considered when judging lawfulness under principle (a).</w:t>
      </w:r>
    </w:p>
    <w:p w14:paraId="1D383845" w14:textId="77777777" w:rsidR="00F45348" w:rsidRPr="00F45348" w:rsidRDefault="00F45348" w:rsidP="00F45348">
      <w:pPr>
        <w:pStyle w:val="PlainText"/>
        <w:rPr>
          <w:rFonts w:ascii="Arial" w:hAnsi="Arial" w:cs="Arial"/>
        </w:rPr>
      </w:pPr>
    </w:p>
    <w:p w14:paraId="10D382B1" w14:textId="77777777" w:rsidR="00F45348" w:rsidRPr="00F45348" w:rsidRDefault="00F45348" w:rsidP="00F45348">
      <w:pPr>
        <w:pStyle w:val="PlainText"/>
        <w:rPr>
          <w:rFonts w:ascii="Arial" w:hAnsi="Arial" w:cs="Arial"/>
        </w:rPr>
      </w:pPr>
      <w:r w:rsidRPr="00F45348">
        <w:rPr>
          <w:rFonts w:ascii="Arial" w:hAnsi="Arial" w:cs="Arial"/>
        </w:rPr>
        <w:t>To judge whether disclosure would contravene principle (a), consideration must be given to whether it is it lawful, fair and transparent? The most relevant lawful basis in this case would be legitimate interest and have therefore considered the public interest on this basis:</w:t>
      </w:r>
    </w:p>
    <w:p w14:paraId="1D4968B1" w14:textId="77777777" w:rsidR="00F45348" w:rsidRPr="00F45348" w:rsidRDefault="00F45348" w:rsidP="00F45348">
      <w:pPr>
        <w:pStyle w:val="PlainText"/>
        <w:rPr>
          <w:rFonts w:ascii="Arial" w:hAnsi="Arial" w:cs="Arial"/>
        </w:rPr>
      </w:pPr>
    </w:p>
    <w:p w14:paraId="2441FE1B" w14:textId="77777777" w:rsidR="00F45348" w:rsidRPr="00F45348" w:rsidRDefault="00F45348" w:rsidP="00F45348">
      <w:pPr>
        <w:pStyle w:val="PlainText"/>
        <w:rPr>
          <w:rFonts w:ascii="Arial" w:hAnsi="Arial" w:cs="Arial"/>
          <w:b/>
          <w:bCs/>
        </w:rPr>
      </w:pPr>
      <w:r w:rsidRPr="00F45348">
        <w:rPr>
          <w:rFonts w:ascii="Arial" w:hAnsi="Arial" w:cs="Arial"/>
          <w:b/>
          <w:bCs/>
        </w:rPr>
        <w:t>Public interest in favour of disclosure:</w:t>
      </w:r>
    </w:p>
    <w:p w14:paraId="12BE274E" w14:textId="77777777" w:rsidR="00F45348" w:rsidRPr="00F45348" w:rsidRDefault="00F45348" w:rsidP="00F45348">
      <w:pPr>
        <w:pStyle w:val="PlainText"/>
        <w:rPr>
          <w:rFonts w:ascii="Arial" w:hAnsi="Arial" w:cs="Arial"/>
          <w:b/>
          <w:bCs/>
        </w:rPr>
      </w:pPr>
    </w:p>
    <w:p w14:paraId="23F6987B" w14:textId="77777777" w:rsidR="00F45348" w:rsidRPr="00F45348" w:rsidRDefault="00F45348" w:rsidP="00F45348">
      <w:pPr>
        <w:pStyle w:val="PlainText"/>
        <w:numPr>
          <w:ilvl w:val="0"/>
          <w:numId w:val="9"/>
        </w:numPr>
        <w:rPr>
          <w:rFonts w:ascii="Arial" w:hAnsi="Arial" w:cs="Arial"/>
        </w:rPr>
      </w:pPr>
      <w:r w:rsidRPr="00F45348">
        <w:rPr>
          <w:rFonts w:ascii="Arial" w:hAnsi="Arial" w:cs="Arial"/>
        </w:rPr>
        <w:t>There is a public interest in understanding the numbers of ethnic minority groups employed at HFRS as this helps in assessing the diversity and inclusivity of the workforce.</w:t>
      </w:r>
    </w:p>
    <w:p w14:paraId="4644628D" w14:textId="77777777" w:rsidR="00F45348" w:rsidRPr="00F45348" w:rsidRDefault="00F45348" w:rsidP="00F45348">
      <w:pPr>
        <w:pStyle w:val="PlainText"/>
        <w:numPr>
          <w:ilvl w:val="0"/>
          <w:numId w:val="9"/>
        </w:numPr>
        <w:rPr>
          <w:rFonts w:ascii="Arial" w:hAnsi="Arial" w:cs="Arial"/>
        </w:rPr>
      </w:pPr>
      <w:r w:rsidRPr="00F45348">
        <w:rPr>
          <w:rFonts w:ascii="Arial" w:hAnsi="Arial" w:cs="Arial"/>
        </w:rPr>
        <w:t>There is public interest in the numbers of ethnic minority groups employed at HFRS as this provides an insight into the organisation's ability to recruit diverse talent. </w:t>
      </w:r>
    </w:p>
    <w:p w14:paraId="48859A15" w14:textId="77777777" w:rsidR="00F45348" w:rsidRPr="00F45348" w:rsidRDefault="00F45348" w:rsidP="00F45348">
      <w:pPr>
        <w:pStyle w:val="PlainText"/>
        <w:numPr>
          <w:ilvl w:val="0"/>
          <w:numId w:val="9"/>
        </w:numPr>
        <w:rPr>
          <w:rFonts w:ascii="Arial" w:hAnsi="Arial" w:cs="Arial"/>
        </w:rPr>
      </w:pPr>
      <w:r w:rsidRPr="00F45348">
        <w:rPr>
          <w:rFonts w:ascii="Arial" w:hAnsi="Arial" w:cs="Arial"/>
        </w:rPr>
        <w:t> Recruitment and retention statistics can demonstrate the organisation's commitment to transparency and accountability in its hiring practices.</w:t>
      </w:r>
    </w:p>
    <w:p w14:paraId="4874EFD2" w14:textId="77777777" w:rsidR="00F45348" w:rsidRPr="00F45348" w:rsidRDefault="00F45348" w:rsidP="00F45348">
      <w:pPr>
        <w:pStyle w:val="PlainText"/>
        <w:rPr>
          <w:rFonts w:ascii="Arial" w:hAnsi="Arial" w:cs="Arial"/>
        </w:rPr>
      </w:pPr>
    </w:p>
    <w:p w14:paraId="49211D1C" w14:textId="77777777" w:rsidR="00F45348" w:rsidRPr="00F45348" w:rsidRDefault="00F45348" w:rsidP="00F45348">
      <w:pPr>
        <w:pStyle w:val="PlainText"/>
        <w:rPr>
          <w:rFonts w:ascii="Arial" w:hAnsi="Arial" w:cs="Arial"/>
          <w:b/>
          <w:bCs/>
        </w:rPr>
      </w:pPr>
      <w:r w:rsidRPr="00F45348">
        <w:rPr>
          <w:rFonts w:ascii="Arial" w:hAnsi="Arial" w:cs="Arial"/>
          <w:b/>
          <w:bCs/>
        </w:rPr>
        <w:lastRenderedPageBreak/>
        <w:t>Public Interest in favour of withholding:</w:t>
      </w:r>
    </w:p>
    <w:p w14:paraId="1666A280" w14:textId="77777777" w:rsidR="00F45348" w:rsidRPr="00F45348" w:rsidRDefault="00F45348" w:rsidP="00F45348">
      <w:pPr>
        <w:pStyle w:val="PlainText"/>
        <w:rPr>
          <w:rFonts w:ascii="Arial" w:hAnsi="Arial" w:cs="Arial"/>
          <w:b/>
          <w:bCs/>
        </w:rPr>
      </w:pPr>
    </w:p>
    <w:p w14:paraId="7A74CE7B" w14:textId="77777777" w:rsidR="00F45348" w:rsidRPr="00F45348" w:rsidRDefault="00F45348" w:rsidP="00F45348">
      <w:pPr>
        <w:pStyle w:val="PlainText"/>
        <w:numPr>
          <w:ilvl w:val="0"/>
          <w:numId w:val="10"/>
        </w:numPr>
        <w:rPr>
          <w:rFonts w:ascii="Arial" w:hAnsi="Arial" w:cs="Arial"/>
        </w:rPr>
      </w:pPr>
      <w:r w:rsidRPr="00F45348">
        <w:rPr>
          <w:rFonts w:ascii="Arial" w:hAnsi="Arial" w:cs="Arial"/>
        </w:rPr>
        <w:t>The information is special category data and relates to the personal aspects of employees’ lives.</w:t>
      </w:r>
    </w:p>
    <w:p w14:paraId="6E22378C" w14:textId="77777777" w:rsidR="00F45348" w:rsidRPr="00F45348" w:rsidRDefault="00F45348" w:rsidP="00F45348">
      <w:pPr>
        <w:pStyle w:val="PlainText"/>
        <w:numPr>
          <w:ilvl w:val="0"/>
          <w:numId w:val="10"/>
        </w:numPr>
        <w:rPr>
          <w:rFonts w:ascii="Arial" w:hAnsi="Arial" w:cs="Arial"/>
        </w:rPr>
      </w:pPr>
      <w:r w:rsidRPr="00F45348">
        <w:rPr>
          <w:rFonts w:ascii="Arial" w:hAnsi="Arial" w:cs="Arial"/>
        </w:rPr>
        <w:t>Disclosing small numbers could lead to the identification of individuals, which would be an unwarranted invasion of their personal privacy. </w:t>
      </w:r>
    </w:p>
    <w:p w14:paraId="31B9E13C" w14:textId="77777777" w:rsidR="00F45348" w:rsidRPr="00F45348" w:rsidRDefault="00F45348" w:rsidP="00F45348">
      <w:pPr>
        <w:pStyle w:val="PlainText"/>
        <w:numPr>
          <w:ilvl w:val="0"/>
          <w:numId w:val="10"/>
        </w:numPr>
        <w:rPr>
          <w:rFonts w:ascii="Arial" w:hAnsi="Arial" w:cs="Arial"/>
        </w:rPr>
      </w:pPr>
      <w:r w:rsidRPr="00F45348">
        <w:rPr>
          <w:rFonts w:ascii="Arial" w:hAnsi="Arial" w:cs="Arial"/>
        </w:rPr>
        <w:t>Identifying of individuals through the disclosure could expose them to harm, distress, or discrimination. </w:t>
      </w:r>
    </w:p>
    <w:p w14:paraId="43027983" w14:textId="77777777" w:rsidR="00F45348" w:rsidRPr="00F45348" w:rsidRDefault="00F45348" w:rsidP="00F45348">
      <w:pPr>
        <w:pStyle w:val="PlainText"/>
        <w:numPr>
          <w:ilvl w:val="0"/>
          <w:numId w:val="10"/>
        </w:numPr>
        <w:rPr>
          <w:rFonts w:ascii="Arial" w:hAnsi="Arial" w:cs="Arial"/>
        </w:rPr>
      </w:pPr>
      <w:r w:rsidRPr="00F45348">
        <w:rPr>
          <w:rFonts w:ascii="Arial" w:hAnsi="Arial" w:cs="Arial"/>
        </w:rPr>
        <w:t>Ensuring that personal data is protected helps maintain public trust in public authorities and encourages individuals to engage and provide accurate meaningful information to the organisation.</w:t>
      </w:r>
    </w:p>
    <w:p w14:paraId="50FC71B4" w14:textId="77777777" w:rsidR="00F45348" w:rsidRPr="00F45348" w:rsidRDefault="00F45348" w:rsidP="00F45348">
      <w:pPr>
        <w:pStyle w:val="PlainText"/>
        <w:rPr>
          <w:rFonts w:ascii="Arial" w:hAnsi="Arial" w:cs="Arial"/>
        </w:rPr>
      </w:pPr>
    </w:p>
    <w:p w14:paraId="7FA2DB6E" w14:textId="77777777" w:rsidR="00F45348" w:rsidRPr="00F45348" w:rsidRDefault="00F45348" w:rsidP="00F45348">
      <w:pPr>
        <w:pStyle w:val="PlainText"/>
        <w:rPr>
          <w:rFonts w:ascii="Arial" w:hAnsi="Arial" w:cs="Arial"/>
        </w:rPr>
      </w:pPr>
      <w:r w:rsidRPr="00F45348">
        <w:rPr>
          <w:rFonts w:ascii="Arial" w:hAnsi="Arial" w:cs="Arial"/>
        </w:rPr>
        <w:t>We then considered whether disclosure is necessary to meet the legitimate interest.</w:t>
      </w:r>
    </w:p>
    <w:p w14:paraId="25C91162" w14:textId="77777777" w:rsidR="00F45348" w:rsidRPr="00F45348" w:rsidRDefault="00F45348" w:rsidP="00F45348">
      <w:pPr>
        <w:pStyle w:val="PlainText"/>
        <w:rPr>
          <w:rFonts w:ascii="Arial" w:hAnsi="Arial" w:cs="Arial"/>
        </w:rPr>
      </w:pPr>
    </w:p>
    <w:p w14:paraId="2DACB159" w14:textId="77777777" w:rsidR="00F45348" w:rsidRPr="00F45348" w:rsidRDefault="00F45348" w:rsidP="00F45348">
      <w:pPr>
        <w:pStyle w:val="PlainText"/>
        <w:rPr>
          <w:rFonts w:ascii="Arial" w:hAnsi="Arial" w:cs="Arial"/>
        </w:rPr>
      </w:pPr>
      <w:r w:rsidRPr="00F45348">
        <w:rPr>
          <w:rFonts w:ascii="Arial" w:hAnsi="Arial" w:cs="Arial"/>
        </w:rPr>
        <w:t>We believe there is a legitimate interest in the information requested; whilst legitimate interest would be satisfied partially by the disclosure that we have recruited an unspecified number of staff from an ethnic minority, this would not wholly satisfy the legitimate interest.</w:t>
      </w:r>
    </w:p>
    <w:p w14:paraId="551C6784" w14:textId="77777777" w:rsidR="00F45348" w:rsidRPr="00F45348" w:rsidRDefault="00F45348" w:rsidP="00F45348">
      <w:pPr>
        <w:pStyle w:val="PlainText"/>
        <w:rPr>
          <w:rFonts w:ascii="Arial" w:hAnsi="Arial" w:cs="Arial"/>
        </w:rPr>
      </w:pPr>
    </w:p>
    <w:p w14:paraId="3DBC1808" w14:textId="77777777" w:rsidR="00F45348" w:rsidRPr="00F45348" w:rsidRDefault="00F45348" w:rsidP="00F45348">
      <w:pPr>
        <w:pStyle w:val="PlainText"/>
        <w:rPr>
          <w:rFonts w:ascii="Arial" w:hAnsi="Arial" w:cs="Arial"/>
          <w:b/>
          <w:bCs/>
        </w:rPr>
      </w:pPr>
      <w:r w:rsidRPr="00F45348">
        <w:rPr>
          <w:rFonts w:ascii="Arial" w:hAnsi="Arial" w:cs="Arial"/>
          <w:b/>
          <w:bCs/>
        </w:rPr>
        <w:t>Balancing Test:</w:t>
      </w:r>
    </w:p>
    <w:p w14:paraId="73F2C604" w14:textId="77777777" w:rsidR="00F45348" w:rsidRPr="00F45348" w:rsidRDefault="00F45348" w:rsidP="00F45348">
      <w:pPr>
        <w:pStyle w:val="PlainText"/>
        <w:rPr>
          <w:rFonts w:ascii="Arial" w:hAnsi="Arial" w:cs="Arial"/>
        </w:rPr>
      </w:pPr>
      <w:r w:rsidRPr="00F45348">
        <w:rPr>
          <w:rFonts w:ascii="Arial" w:hAnsi="Arial" w:cs="Arial"/>
        </w:rPr>
        <w:t xml:space="preserve">It is necessary to balance the factors above whilst maintaining transparency and privacy. Withholding the required information in </w:t>
      </w:r>
      <w:proofErr w:type="spellStart"/>
      <w:proofErr w:type="gramStart"/>
      <w:r w:rsidRPr="00F45348">
        <w:rPr>
          <w:rFonts w:ascii="Arial" w:hAnsi="Arial" w:cs="Arial"/>
        </w:rPr>
        <w:t>c,d</w:t>
      </w:r>
      <w:proofErr w:type="spellEnd"/>
      <w:proofErr w:type="gramEnd"/>
      <w:r w:rsidRPr="00F45348">
        <w:rPr>
          <w:rFonts w:ascii="Arial" w:hAnsi="Arial" w:cs="Arial"/>
        </w:rPr>
        <w:t xml:space="preserve"> &amp; f above would not wholly satisfy the legitimate interest, however, disclosure of the detailed information is likely to cause harm to the individuals concerned as outlined above in the public interest reasoning. It is our belief that the legitimate interest does not outweigh the interests and rights of the individuals who have a right to personal privacy.</w:t>
      </w:r>
    </w:p>
    <w:p w14:paraId="43A382DC" w14:textId="77777777" w:rsidR="00F45348" w:rsidRPr="00F45348" w:rsidRDefault="00F45348" w:rsidP="00F45348">
      <w:pPr>
        <w:pStyle w:val="PlainText"/>
        <w:rPr>
          <w:rFonts w:ascii="Arial" w:hAnsi="Arial" w:cs="Arial"/>
        </w:rPr>
      </w:pPr>
    </w:p>
    <w:p w14:paraId="72E0120D" w14:textId="77777777" w:rsidR="00F45348" w:rsidRPr="00F45348" w:rsidRDefault="00F45348" w:rsidP="00F45348">
      <w:pPr>
        <w:pStyle w:val="PlainText"/>
        <w:rPr>
          <w:rFonts w:ascii="Arial" w:hAnsi="Arial" w:cs="Arial"/>
        </w:rPr>
      </w:pPr>
      <w:r w:rsidRPr="00F45348">
        <w:rPr>
          <w:rFonts w:ascii="Arial" w:hAnsi="Arial" w:cs="Arial"/>
        </w:rPr>
        <w:t xml:space="preserve">On balance, the public interest in withholding the requested information outweighs the public interest in disclosure and the information requested is exempt under Section 40(2) Personal information of the Freedom of Information Act.  </w:t>
      </w:r>
    </w:p>
    <w:p w14:paraId="3C7CBE3C" w14:textId="0F3148C3" w:rsidR="00FA67A1" w:rsidRPr="00FB38E6" w:rsidRDefault="00FA67A1" w:rsidP="00FB38E6">
      <w:pPr>
        <w:pStyle w:val="PlainText"/>
        <w:rPr>
          <w:rFonts w:ascii="Arial" w:hAnsi="Arial" w:cs="Arial"/>
        </w:rPr>
      </w:pPr>
    </w:p>
    <w:p w14:paraId="667FE024" w14:textId="77777777" w:rsidR="00CD6291" w:rsidRPr="00FB38E6" w:rsidRDefault="00CD6291" w:rsidP="00FB38E6">
      <w:pPr>
        <w:pStyle w:val="PlainText"/>
        <w:rPr>
          <w:rFonts w:ascii="Arial" w:hAnsi="Arial" w:cs="Arial"/>
          <w:b/>
          <w:bCs/>
        </w:rPr>
      </w:pPr>
    </w:p>
    <w:p w14:paraId="637FE908" w14:textId="23754FB7" w:rsidR="00A35C80" w:rsidRPr="00FB38E6" w:rsidRDefault="00A35C80" w:rsidP="00FB38E6">
      <w:pPr>
        <w:pStyle w:val="PlainText"/>
        <w:rPr>
          <w:rFonts w:ascii="Arial" w:hAnsi="Arial" w:cs="Arial"/>
        </w:rPr>
      </w:pPr>
      <w:r w:rsidRPr="00FB38E6">
        <w:rPr>
          <w:rFonts w:ascii="Arial" w:hAnsi="Arial" w:cs="Arial"/>
          <w:b/>
          <w:bCs/>
        </w:rPr>
        <w:t> </w:t>
      </w: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CCF"/>
    <w:multiLevelType w:val="multilevel"/>
    <w:tmpl w:val="B488456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3010D0"/>
    <w:multiLevelType w:val="hybridMultilevel"/>
    <w:tmpl w:val="5E8C75D2"/>
    <w:lvl w:ilvl="0" w:tplc="B5C868B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2D6B31"/>
    <w:multiLevelType w:val="hybridMultilevel"/>
    <w:tmpl w:val="73F62E56"/>
    <w:lvl w:ilvl="0" w:tplc="E65A99D2">
      <w:start w:val="1"/>
      <w:numFmt w:val="decimal"/>
      <w:lvlText w:val="%1."/>
      <w:lvlJc w:val="left"/>
      <w:pPr>
        <w:ind w:left="785"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A0517FA"/>
    <w:multiLevelType w:val="hybridMultilevel"/>
    <w:tmpl w:val="6F0A2DD0"/>
    <w:lvl w:ilvl="0" w:tplc="D15674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9"/>
  </w:num>
  <w:num w:numId="2" w16cid:durableId="201406552">
    <w:abstractNumId w:val="5"/>
  </w:num>
  <w:num w:numId="3" w16cid:durableId="1007940">
    <w:abstractNumId w:val="8"/>
  </w:num>
  <w:num w:numId="4" w16cid:durableId="1369716962">
    <w:abstractNumId w:val="3"/>
  </w:num>
  <w:num w:numId="5" w16cid:durableId="1636255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3003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32872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672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3794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81379"/>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D11CD"/>
    <w:rsid w:val="003E4E8C"/>
    <w:rsid w:val="003E7D09"/>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65B58"/>
    <w:rsid w:val="00565F1C"/>
    <w:rsid w:val="00584ACB"/>
    <w:rsid w:val="005858C0"/>
    <w:rsid w:val="005937AB"/>
    <w:rsid w:val="005A195D"/>
    <w:rsid w:val="005B11D3"/>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B43AF"/>
    <w:rsid w:val="006F38F6"/>
    <w:rsid w:val="006F634E"/>
    <w:rsid w:val="00701292"/>
    <w:rsid w:val="00721BF2"/>
    <w:rsid w:val="007231D8"/>
    <w:rsid w:val="007319C1"/>
    <w:rsid w:val="007471B6"/>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56D10"/>
    <w:rsid w:val="009D6D12"/>
    <w:rsid w:val="009D71BC"/>
    <w:rsid w:val="009E333C"/>
    <w:rsid w:val="009E50B4"/>
    <w:rsid w:val="009E739C"/>
    <w:rsid w:val="00A118AC"/>
    <w:rsid w:val="00A341B0"/>
    <w:rsid w:val="00A35C80"/>
    <w:rsid w:val="00A36A44"/>
    <w:rsid w:val="00A41B18"/>
    <w:rsid w:val="00A51A95"/>
    <w:rsid w:val="00A53282"/>
    <w:rsid w:val="00A55F53"/>
    <w:rsid w:val="00A5759F"/>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86C85"/>
    <w:rsid w:val="00C92417"/>
    <w:rsid w:val="00C968B3"/>
    <w:rsid w:val="00CB0742"/>
    <w:rsid w:val="00CB275A"/>
    <w:rsid w:val="00CB2944"/>
    <w:rsid w:val="00CD20A7"/>
    <w:rsid w:val="00CD415F"/>
    <w:rsid w:val="00CD6291"/>
    <w:rsid w:val="00CF639B"/>
    <w:rsid w:val="00D0012D"/>
    <w:rsid w:val="00D041C1"/>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5348"/>
    <w:rsid w:val="00F46729"/>
    <w:rsid w:val="00F506EF"/>
    <w:rsid w:val="00F53242"/>
    <w:rsid w:val="00F63D63"/>
    <w:rsid w:val="00F81812"/>
    <w:rsid w:val="00F90913"/>
    <w:rsid w:val="00F964A5"/>
    <w:rsid w:val="00FA67A1"/>
    <w:rsid w:val="00FB38E6"/>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4445460">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306194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1937923">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097703868">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2025-01-10T12:23:00Z</dcterms:created>
  <dcterms:modified xsi:type="dcterms:W3CDTF">2025-01-10T12:24:00Z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